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微软雅黑" w:hAnsi="微软雅黑" w:eastAsia="微软雅黑"/>
          <w:b/>
          <w:sz w:val="28"/>
          <w:szCs w:val="28"/>
          <w:lang w:eastAsia="zh-CN"/>
        </w:rPr>
      </w:pPr>
      <w:r>
        <w:rPr>
          <w:rFonts w:hint="eastAsia" w:ascii="微软雅黑" w:hAnsi="微软雅黑" w:eastAsia="微软雅黑"/>
          <w:b/>
          <w:sz w:val="28"/>
          <w:szCs w:val="28"/>
        </w:rPr>
        <w:t xml:space="preserve"> 磁性课程</w:t>
      </w:r>
      <w:r>
        <w:rPr>
          <w:rFonts w:hint="eastAsia" w:ascii="微软雅黑" w:hAnsi="微软雅黑" w:eastAsia="微软雅黑"/>
          <w:b/>
          <w:sz w:val="28"/>
          <w:szCs w:val="28"/>
          <w:lang w:eastAsia="zh-CN"/>
        </w:rPr>
        <w:t>助成长</w:t>
      </w:r>
      <w:r>
        <w:rPr>
          <w:rFonts w:hint="eastAsia" w:ascii="微软雅黑" w:hAnsi="微软雅黑" w:eastAsia="微软雅黑"/>
          <w:b/>
          <w:sz w:val="28"/>
          <w:szCs w:val="28"/>
        </w:rPr>
        <w:t xml:space="preserve"> </w:t>
      </w:r>
      <w:r>
        <w:rPr>
          <w:rFonts w:ascii="微软雅黑" w:hAnsi="微软雅黑" w:eastAsia="微软雅黑"/>
          <w:b/>
          <w:sz w:val="28"/>
          <w:szCs w:val="28"/>
        </w:rPr>
        <w:t xml:space="preserve"> </w:t>
      </w:r>
      <w:r>
        <w:rPr>
          <w:rFonts w:hint="eastAsia" w:ascii="微软雅黑" w:hAnsi="微软雅黑" w:eastAsia="微软雅黑"/>
          <w:b/>
          <w:sz w:val="28"/>
          <w:szCs w:val="28"/>
        </w:rPr>
        <w:t>校本研修促</w:t>
      </w:r>
      <w:r>
        <w:rPr>
          <w:rFonts w:hint="eastAsia" w:ascii="微软雅黑" w:hAnsi="微软雅黑" w:eastAsia="微软雅黑"/>
          <w:b/>
          <w:sz w:val="28"/>
          <w:szCs w:val="28"/>
          <w:lang w:eastAsia="zh-CN"/>
        </w:rPr>
        <w:t>发展</w:t>
      </w:r>
    </w:p>
    <w:p>
      <w:pPr>
        <w:spacing w:line="360" w:lineRule="auto"/>
        <w:jc w:val="center"/>
      </w:pPr>
      <w:r>
        <w:rPr>
          <w:rFonts w:hint="eastAsia"/>
        </w:rPr>
        <w:t>——上海市曹杨二中附属江桥实验中学课程与教学自评报告</w:t>
      </w:r>
    </w:p>
    <w:p>
      <w:pPr>
        <w:spacing w:line="360" w:lineRule="auto"/>
        <w:ind w:firstLine="3782" w:firstLineChars="1800"/>
        <w:rPr>
          <w:b/>
        </w:rPr>
      </w:pPr>
      <w:r>
        <w:rPr>
          <w:rFonts w:hint="eastAsia"/>
          <w:b/>
        </w:rPr>
        <w:t>引言</w:t>
      </w:r>
    </w:p>
    <w:p>
      <w:pPr>
        <w:spacing w:line="360" w:lineRule="auto"/>
        <w:ind w:firstLine="420" w:firstLineChars="200"/>
      </w:pPr>
      <w:r>
        <w:rPr>
          <w:rFonts w:hint="eastAsia"/>
        </w:rPr>
        <w:t>上海市曹杨二中附属江桥实验中学是嘉定区的一所公办初中，创办于</w:t>
      </w:r>
      <w:r>
        <w:t>1958年，2007年接受曹杨二中委托管理后改为现名，现为上海市第二轮新优质</w:t>
      </w:r>
      <w:r>
        <w:rPr>
          <w:rFonts w:hint="eastAsia"/>
        </w:rPr>
        <w:t>项目</w:t>
      </w:r>
      <w:r>
        <w:t>学校。</w:t>
      </w:r>
      <w:r>
        <w:rPr>
          <w:rFonts w:hint="eastAsia"/>
        </w:rPr>
        <w:t>学校以“重在奠基、和谐发展”为</w:t>
      </w:r>
      <w:r>
        <w:rPr>
          <w:rFonts w:hint="eastAsia"/>
          <w:b w:val="0"/>
          <w:bCs w:val="0"/>
        </w:rPr>
        <w:t>办学理念</w:t>
      </w:r>
      <w:r>
        <w:rPr>
          <w:rFonts w:hint="eastAsia"/>
        </w:rPr>
        <w:t>，以“会做人，会学习，会生活，有特长”（简称“三会一有”）为</w:t>
      </w:r>
      <w:r>
        <w:rPr>
          <w:rFonts w:hint="eastAsia"/>
          <w:b/>
          <w:bCs/>
        </w:rPr>
        <w:t>育人目标</w:t>
      </w:r>
      <w:r>
        <w:rPr>
          <w:rFonts w:hint="eastAsia"/>
        </w:rPr>
        <w:t>，致力于培养基本素养良好的合格初中毕业生，为每一个学生今后的健康发展奠定坚实的基础。</w:t>
      </w:r>
    </w:p>
    <w:p>
      <w:pPr>
        <w:spacing w:line="360" w:lineRule="auto"/>
        <w:ind w:firstLine="420" w:firstLineChars="200"/>
      </w:pPr>
      <w:r>
        <w:rPr>
          <w:rFonts w:hint="eastAsia"/>
        </w:rPr>
        <w:t>学校现有</w:t>
      </w:r>
      <w:r>
        <w:t>25个教学班，学生</w:t>
      </w:r>
      <w:r>
        <w:rPr>
          <w:rFonts w:hint="eastAsia"/>
        </w:rPr>
        <w:t>1054人。现有</w:t>
      </w:r>
      <w:r>
        <w:t>在</w:t>
      </w:r>
      <w:r>
        <w:rPr>
          <w:rFonts w:hint="eastAsia"/>
        </w:rPr>
        <w:t>编</w:t>
      </w:r>
      <w:r>
        <w:t>教职工9</w:t>
      </w:r>
      <w:r>
        <w:rPr>
          <w:rFonts w:hint="eastAsia"/>
        </w:rPr>
        <w:t>1人</w:t>
      </w:r>
      <w:r>
        <w:t>，</w:t>
      </w:r>
      <w:r>
        <w:rPr>
          <w:rFonts w:hint="eastAsia"/>
        </w:rPr>
        <w:t>其中</w:t>
      </w:r>
      <w:r>
        <w:t>专任教师81</w:t>
      </w:r>
      <w:r>
        <w:rPr>
          <w:rFonts w:hint="eastAsia"/>
        </w:rPr>
        <w:t>人</w:t>
      </w:r>
      <w:r>
        <w:rPr>
          <w:rFonts w:hint="eastAsia"/>
          <w:lang w:eastAsia="zh-CN"/>
        </w:rPr>
        <w:t>，均为</w:t>
      </w:r>
      <w:r>
        <w:rPr>
          <w:rFonts w:hint="eastAsia"/>
        </w:rPr>
        <w:t>本科及以上学历（硕士研究生21人）</w:t>
      </w:r>
      <w:r>
        <w:rPr>
          <w:rFonts w:hint="eastAsia"/>
          <w:lang w:eastAsia="zh-CN"/>
        </w:rPr>
        <w:t>。</w:t>
      </w:r>
      <w:r>
        <w:rPr>
          <w:rFonts w:hint="eastAsia"/>
        </w:rPr>
        <w:t>高级教师</w:t>
      </w:r>
      <w:r>
        <w:t>1</w:t>
      </w:r>
      <w:r>
        <w:rPr>
          <w:rFonts w:hint="eastAsia"/>
        </w:rPr>
        <w:t>3</w:t>
      </w:r>
      <w:r>
        <w:t>人，占1</w:t>
      </w:r>
      <w:r>
        <w:rPr>
          <w:rFonts w:hint="eastAsia"/>
        </w:rPr>
        <w:t>6</w:t>
      </w:r>
      <w:r>
        <w:t>%</w:t>
      </w:r>
      <w:r>
        <w:rPr>
          <w:rFonts w:hint="eastAsia"/>
        </w:rPr>
        <w:t>；区兼职教研员、德研员各1人，</w:t>
      </w:r>
      <w:r>
        <w:rPr>
          <w:rFonts w:hint="eastAsia"/>
          <w:lang w:eastAsia="zh-CN"/>
        </w:rPr>
        <w:t>区种子计划领衔人</w:t>
      </w:r>
      <w:r>
        <w:rPr>
          <w:rFonts w:hint="eastAsia"/>
          <w:lang w:val="en-US" w:eastAsia="zh-CN"/>
        </w:rPr>
        <w:t>1人，区班主任工作坊主持人1人；</w:t>
      </w:r>
      <w:r>
        <w:rPr>
          <w:rFonts w:hint="eastAsia"/>
        </w:rPr>
        <w:t>入选市“双名工程”攻关计划1人、种子计划7人；</w:t>
      </w:r>
      <w:r>
        <w:t>区名师工作室</w:t>
      </w:r>
      <w:r>
        <w:rPr>
          <w:rFonts w:hint="eastAsia"/>
        </w:rPr>
        <w:t>学</w:t>
      </w:r>
      <w:r>
        <w:t>员</w:t>
      </w:r>
      <w:r>
        <w:rPr>
          <w:rFonts w:hint="eastAsia"/>
        </w:rPr>
        <w:t>5人，</w:t>
      </w:r>
      <w:r>
        <w:t>区</w:t>
      </w:r>
      <w:r>
        <w:rPr>
          <w:rFonts w:hint="eastAsia"/>
        </w:rPr>
        <w:t>、镇、校</w:t>
      </w:r>
      <w:r>
        <w:t>骨干教师</w:t>
      </w:r>
      <w:r>
        <w:rPr>
          <w:rFonts w:hint="eastAsia"/>
        </w:rPr>
        <w:t>共16人；3</w:t>
      </w:r>
      <w:r>
        <w:t>5周岁以下教师占4</w:t>
      </w:r>
      <w:r>
        <w:rPr>
          <w:rFonts w:hint="eastAsia"/>
        </w:rPr>
        <w:t>5</w:t>
      </w:r>
      <w:r>
        <w:t>.</w:t>
      </w:r>
      <w:r>
        <w:rPr>
          <w:rFonts w:hint="eastAsia"/>
        </w:rPr>
        <w:t>7</w:t>
      </w:r>
      <w:r>
        <w:t>%</w:t>
      </w:r>
      <w:r>
        <w:rPr>
          <w:rFonts w:hint="eastAsia"/>
        </w:rPr>
        <w:t>。是一支结构合理、业务精良的团队。</w:t>
      </w:r>
    </w:p>
    <w:p>
      <w:pPr>
        <w:spacing w:line="360" w:lineRule="auto"/>
        <w:ind w:firstLine="420" w:firstLineChars="200"/>
      </w:pPr>
      <w:r>
        <w:rPr>
          <w:rFonts w:hint="eastAsia"/>
        </w:rPr>
        <w:t>近年来，学校先后获得“上海市文明校园”、“上海市依法治校示范校”、“上海市中小学行为规范示范校”、“上海市家庭教育示范校”、“上海市书法教育特色校”、“嘉定区教育系统办学优秀单位”、“嘉定区教育综合改革示范校”、“嘉定区教育系统综改励新奖”、“嘉定区学校文化建设品牌校”、“嘉定区中小学心理健康教育特色校”等荣誉称号，赢得了学生、家长与社会的广泛赞誉。学校正朝着“把学校建设成为市郊一流、特色鲜明、品质优异的现代新优质初中”的办学目标不断迈进。</w:t>
      </w:r>
    </w:p>
    <w:p>
      <w:pPr>
        <w:spacing w:line="360" w:lineRule="auto"/>
        <w:ind w:firstLine="420" w:firstLineChars="200"/>
        <w:rPr>
          <w:rFonts w:hint="eastAsia"/>
        </w:rPr>
      </w:pPr>
      <w:r>
        <w:rPr>
          <w:rFonts w:hint="eastAsia"/>
        </w:rPr>
        <w:t>我校以《国家中长期教育改革和发展规划纲要</w:t>
      </w:r>
      <w:r>
        <w:rPr>
          <w:rFonts w:hint="eastAsia"/>
          <w:lang w:val="en-US" w:eastAsia="zh-CN"/>
        </w:rPr>
        <w:t>(</w:t>
      </w:r>
      <w:r>
        <w:rPr>
          <w:rFonts w:hint="eastAsia"/>
        </w:rPr>
        <w:t>2010-2020</w:t>
      </w:r>
      <w:r>
        <w:rPr>
          <w:rFonts w:hint="eastAsia"/>
          <w:lang w:eastAsia="zh-CN"/>
        </w:rPr>
        <w:t>年</w:t>
      </w:r>
      <w:r>
        <w:rPr>
          <w:rFonts w:hint="eastAsia"/>
          <w:lang w:val="en-US" w:eastAsia="zh-CN"/>
        </w:rPr>
        <w:t>)</w:t>
      </w:r>
      <w:r>
        <w:rPr>
          <w:rFonts w:hint="eastAsia"/>
        </w:rPr>
        <w:t>》、《中共中央 国务院关于深化教育教学改革全面提高义务教育质量的意见》</w:t>
      </w:r>
      <w:r>
        <w:rPr>
          <w:rFonts w:hint="eastAsia"/>
          <w:lang w:eastAsia="zh-CN"/>
        </w:rPr>
        <w:t>、</w:t>
      </w:r>
      <w:r>
        <w:rPr>
          <w:rFonts w:hint="eastAsia"/>
        </w:rPr>
        <w:t>《上海市教育委员会关于深化</w:t>
      </w:r>
      <w:r>
        <w:rPr>
          <w:rFonts w:hint="eastAsia"/>
          <w:lang w:eastAsia="zh-CN"/>
        </w:rPr>
        <w:t>中小学</w:t>
      </w:r>
      <w:r>
        <w:rPr>
          <w:rFonts w:hint="eastAsia"/>
        </w:rPr>
        <w:t>课程改革加强教学工作的若干意见》、《上海市教育委员会关于加强中小学课程管理的若干意见（试行）》等6项教学工作意见</w:t>
      </w:r>
      <w:r>
        <w:rPr>
          <w:rFonts w:hint="eastAsia"/>
          <w:lang w:eastAsia="zh-CN"/>
        </w:rPr>
        <w:t>、</w:t>
      </w:r>
      <w:r>
        <w:rPr>
          <w:rFonts w:hint="eastAsia"/>
        </w:rPr>
        <w:t>《上海市普通中小学课程方案》和《上海市中小学课程计划及其说明》为依据，制定学校课程方案。学校严格</w:t>
      </w:r>
      <w:r>
        <w:rPr>
          <w:rFonts w:hint="eastAsia"/>
          <w:lang w:eastAsia="zh-CN"/>
        </w:rPr>
        <w:t>按照</w:t>
      </w:r>
      <w:r>
        <w:rPr>
          <w:rFonts w:hint="eastAsia"/>
        </w:rPr>
        <w:t>市教委要求，</w:t>
      </w:r>
      <w:r>
        <w:rPr>
          <w:rFonts w:hint="eastAsia"/>
          <w:lang w:eastAsia="zh-CN"/>
        </w:rPr>
        <w:t>开齐开足各类课程，结合学校实际发展需求，</w:t>
      </w:r>
      <w:r>
        <w:rPr>
          <w:rFonts w:hint="eastAsia"/>
          <w:b w:val="0"/>
          <w:bCs w:val="0"/>
        </w:rPr>
        <w:t>以“磁性课程建设”和“磁性课堂研究”为抓手</w:t>
      </w:r>
      <w:r>
        <w:rPr>
          <w:rFonts w:hint="eastAsia"/>
        </w:rPr>
        <w:t>，</w:t>
      </w:r>
      <w:r>
        <w:rPr>
          <w:rFonts w:hint="eastAsia"/>
          <w:lang w:eastAsia="zh-CN"/>
        </w:rPr>
        <w:t>扎实推进课程教学改革</w:t>
      </w:r>
      <w:r>
        <w:rPr>
          <w:rFonts w:hint="eastAsia"/>
        </w:rPr>
        <w:t>，</w:t>
      </w:r>
      <w:r>
        <w:rPr>
          <w:rFonts w:hint="eastAsia"/>
          <w:lang w:eastAsia="zh-CN"/>
        </w:rPr>
        <w:t>不断</w:t>
      </w:r>
      <w:r>
        <w:rPr>
          <w:rFonts w:hint="eastAsia"/>
        </w:rPr>
        <w:t>提升学校</w:t>
      </w:r>
      <w:r>
        <w:rPr>
          <w:rFonts w:hint="eastAsia"/>
          <w:color w:val="auto"/>
          <w:lang w:eastAsia="zh-CN"/>
        </w:rPr>
        <w:t>在</w:t>
      </w:r>
      <w:r>
        <w:rPr>
          <w:rFonts w:hint="eastAsia"/>
          <w:color w:val="auto"/>
        </w:rPr>
        <w:t>课程建设、课堂改进、教师发展、学生成长等方面的内涵品质</w:t>
      </w:r>
      <w:r>
        <w:rPr>
          <w:rFonts w:hint="eastAsia"/>
        </w:rPr>
        <w:t>。</w:t>
      </w:r>
    </w:p>
    <w:p>
      <w:pPr>
        <w:spacing w:line="360" w:lineRule="auto"/>
        <w:ind w:firstLine="1891" w:firstLineChars="900"/>
        <w:rPr>
          <w:b/>
        </w:rPr>
      </w:pPr>
      <w:r>
        <w:rPr>
          <w:rFonts w:hint="eastAsia"/>
          <w:b/>
        </w:rPr>
        <w:t>第一部分 磁性课程建设，助力学生核心素养提升</w:t>
      </w:r>
    </w:p>
    <w:p>
      <w:pPr>
        <w:spacing w:line="360" w:lineRule="auto"/>
        <w:ind w:firstLine="420" w:firstLineChars="200"/>
      </w:pPr>
      <w:r>
        <w:rPr>
          <w:rFonts w:hint="eastAsia" w:ascii="宋体" w:hAnsi="宋体" w:cs="Arial Unicode MS"/>
          <w:kern w:val="0"/>
          <w:szCs w:val="21"/>
        </w:rPr>
        <w:t>近年来，学校</w:t>
      </w:r>
      <w:r>
        <w:rPr>
          <w:rFonts w:hint="eastAsia" w:ascii="宋体" w:hAnsi="宋体" w:cs="Arial Unicode MS"/>
          <w:szCs w:val="21"/>
        </w:rPr>
        <w:t>聚焦学生核心素养，</w:t>
      </w:r>
      <w:r>
        <w:rPr>
          <w:rFonts w:hint="eastAsia" w:ascii="宋体" w:hAnsi="宋体" w:cs="宋体"/>
          <w:kern w:val="0"/>
          <w:szCs w:val="21"/>
        </w:rPr>
        <w:t>大力开展“磁性”课程建设</w:t>
      </w:r>
      <w:r>
        <w:rPr>
          <w:rFonts w:hint="eastAsia" w:ascii="宋体" w:hAnsi="宋体"/>
          <w:szCs w:val="21"/>
        </w:rPr>
        <w:t>，为学生提供了丰富的课程选择和多样的教育体验。</w:t>
      </w:r>
    </w:p>
    <w:p>
      <w:pPr>
        <w:spacing w:line="360" w:lineRule="auto"/>
        <w:rPr>
          <w:rFonts w:ascii="宋体" w:hAnsi="宋体" w:cs="Arial Unicode MS"/>
          <w:b/>
          <w:szCs w:val="21"/>
        </w:rPr>
      </w:pPr>
      <w:r>
        <w:rPr>
          <w:rFonts w:hint="eastAsia" w:ascii="宋体" w:hAnsi="宋体"/>
          <w:b/>
          <w:bCs/>
        </w:rPr>
        <w:t>一、聚焦</w:t>
      </w:r>
      <w:r>
        <w:rPr>
          <w:rFonts w:hint="eastAsia" w:ascii="宋体" w:hAnsi="宋体" w:cs="Arial Unicode MS"/>
          <w:b/>
          <w:szCs w:val="21"/>
        </w:rPr>
        <w:t xml:space="preserve">奠基教育，确立学校课程理念  </w:t>
      </w:r>
    </w:p>
    <w:p>
      <w:pPr>
        <w:spacing w:line="360" w:lineRule="auto"/>
        <w:ind w:firstLine="315" w:firstLineChars="150"/>
        <w:rPr>
          <w:rFonts w:ascii="宋体" w:hAnsi="宋体" w:cs="Arial Unicode MS"/>
          <w:kern w:val="0"/>
          <w:szCs w:val="21"/>
        </w:rPr>
      </w:pPr>
      <w:r>
        <w:rPr>
          <w:rFonts w:hint="eastAsia" w:ascii="宋体" w:hAnsi="宋体" w:cs="Arial Unicode MS"/>
          <w:szCs w:val="21"/>
        </w:rPr>
        <w:t>随着“重在奠基，和谐发展”办学理念的不断深入，我校进而提出将“奠基教育”作为学校的教育哲学，围绕着“</w:t>
      </w:r>
      <w:r>
        <w:rPr>
          <w:rFonts w:hint="eastAsia" w:ascii="宋体" w:hAnsi="宋体"/>
          <w:szCs w:val="21"/>
        </w:rPr>
        <w:t>奠基教育”，我们思考，应该在哪些方面为学生奠基？如何通过课程来落实奠基教育，从而实现</w:t>
      </w:r>
      <w:r>
        <w:rPr>
          <w:rFonts w:hint="eastAsia" w:ascii="宋体" w:hAnsi="宋体" w:cs="宋体"/>
          <w:kern w:val="0"/>
          <w:szCs w:val="21"/>
        </w:rPr>
        <w:t>“三会一有”的育人目标</w:t>
      </w:r>
      <w:r>
        <w:rPr>
          <w:rFonts w:hint="eastAsia" w:ascii="宋体" w:hAnsi="宋体"/>
          <w:szCs w:val="21"/>
        </w:rPr>
        <w:t>？为此我们</w:t>
      </w:r>
      <w:r>
        <w:rPr>
          <w:rFonts w:hint="eastAsia" w:ascii="宋体" w:hAnsi="宋体" w:cs="Arial Unicode MS"/>
          <w:szCs w:val="21"/>
        </w:rPr>
        <w:t>确立了学校的</w:t>
      </w:r>
      <w:r>
        <w:rPr>
          <w:rFonts w:hint="eastAsia" w:ascii="宋体" w:hAnsi="宋体" w:cs="Arial Unicode MS"/>
          <w:b w:val="0"/>
          <w:bCs w:val="0"/>
          <w:szCs w:val="21"/>
        </w:rPr>
        <w:t>课程理念——“用富有磁性的课程为学生的</w:t>
      </w:r>
      <w:r>
        <w:rPr>
          <w:rFonts w:hint="eastAsia" w:ascii="宋体" w:hAnsi="宋体" w:cs="Arial Unicode MS"/>
          <w:b w:val="0"/>
          <w:bCs w:val="0"/>
          <w:color w:val="auto"/>
          <w:szCs w:val="21"/>
        </w:rPr>
        <w:t>成长、成功奠基</w:t>
      </w:r>
      <w:r>
        <w:rPr>
          <w:rFonts w:hint="eastAsia" w:ascii="宋体" w:hAnsi="宋体" w:cs="Arial Unicode MS"/>
          <w:b w:val="0"/>
          <w:bCs w:val="0"/>
          <w:szCs w:val="21"/>
        </w:rPr>
        <w:t>”，</w:t>
      </w:r>
      <w:r>
        <w:rPr>
          <w:rFonts w:hint="eastAsia" w:ascii="宋体" w:hAnsi="宋体" w:cs="Arial Unicode MS"/>
          <w:szCs w:val="21"/>
        </w:rPr>
        <w:t>力求用富有磁性的学校课程</w:t>
      </w:r>
      <w:r>
        <w:rPr>
          <w:rFonts w:hint="eastAsia" w:ascii="宋体" w:hAnsi="宋体" w:cs="Arial Unicode MS"/>
          <w:kern w:val="0"/>
          <w:szCs w:val="21"/>
        </w:rPr>
        <w:t>使育人目标落到实处，</w:t>
      </w:r>
      <w:r>
        <w:rPr>
          <w:rFonts w:hint="eastAsia" w:ascii="宋体" w:hAnsi="宋体" w:cs="Arial Unicode MS"/>
          <w:szCs w:val="21"/>
        </w:rPr>
        <w:t>从而</w:t>
      </w:r>
      <w:r>
        <w:rPr>
          <w:rFonts w:hint="eastAsia" w:ascii="宋体" w:hAnsi="宋体" w:cs="Arial Unicode MS"/>
          <w:kern w:val="0"/>
          <w:szCs w:val="21"/>
        </w:rPr>
        <w:t>为学生的社会化发展、个性化发展奠定坚实的基础。</w:t>
      </w:r>
    </w:p>
    <w:p>
      <w:pPr>
        <w:spacing w:line="360" w:lineRule="auto"/>
        <w:ind w:firstLine="420" w:firstLineChars="200"/>
        <w:rPr>
          <w:rFonts w:ascii="宋体" w:hAnsi="宋体"/>
          <w:szCs w:val="21"/>
        </w:rPr>
      </w:pPr>
      <w:r>
        <w:rPr>
          <w:rFonts w:hint="eastAsia" w:ascii="宋体" w:hAnsi="宋体" w:cs="Arial Unicode MS"/>
          <w:szCs w:val="21"/>
        </w:rPr>
        <w:t>这一课程理念包括两个要点：</w:t>
      </w:r>
    </w:p>
    <w:p>
      <w:pPr>
        <w:numPr>
          <w:numId w:val="0"/>
        </w:numPr>
        <w:spacing w:line="360" w:lineRule="auto"/>
        <w:ind w:leftChars="0"/>
        <w:rPr>
          <w:rFonts w:ascii="宋体" w:hAnsi="宋体" w:cs="Arial Unicode MS"/>
          <w:kern w:val="0"/>
          <w:szCs w:val="21"/>
        </w:rPr>
      </w:pPr>
      <w:r>
        <w:rPr>
          <w:rFonts w:hint="eastAsia" w:ascii="宋体" w:hAnsi="宋体"/>
          <w:szCs w:val="21"/>
          <w:lang w:val="en-US" w:eastAsia="zh-CN"/>
        </w:rPr>
        <w:t>1.</w:t>
      </w:r>
      <w:r>
        <w:rPr>
          <w:rFonts w:hint="eastAsia" w:ascii="宋体" w:hAnsi="宋体"/>
          <w:szCs w:val="21"/>
        </w:rPr>
        <w:t>课程内容要凸显奠基。</w:t>
      </w:r>
      <w:r>
        <w:rPr>
          <w:rFonts w:hint="eastAsia" w:ascii="宋体" w:hAnsi="宋体" w:cs="Arial Unicode MS"/>
          <w:szCs w:val="21"/>
        </w:rPr>
        <w:t>在</w:t>
      </w:r>
      <w:r>
        <w:rPr>
          <w:rFonts w:hint="eastAsia" w:ascii="宋体" w:hAnsi="宋体" w:cs="Arial Unicode MS"/>
          <w:kern w:val="0"/>
          <w:szCs w:val="21"/>
        </w:rPr>
        <w:t>“三会一有”（“会做人，会学习，会生活，有特长”）四个方面为</w:t>
      </w:r>
    </w:p>
    <w:p>
      <w:pPr>
        <w:spacing w:line="360" w:lineRule="auto"/>
        <w:rPr>
          <w:rFonts w:ascii="宋体" w:hAnsi="宋体" w:cs="Arial Unicode MS"/>
          <w:kern w:val="0"/>
          <w:szCs w:val="21"/>
        </w:rPr>
      </w:pPr>
      <w:r>
        <w:rPr>
          <w:rFonts w:hint="eastAsia" w:ascii="宋体" w:hAnsi="宋体" w:cs="Arial Unicode MS"/>
          <w:kern w:val="0"/>
          <w:szCs w:val="21"/>
        </w:rPr>
        <w:t>学生奠基。“三会一有”的核心价值如下：会做人——立德树人；会学习——化识为智；会生活——学以致用；有特长——个性发展。</w:t>
      </w:r>
    </w:p>
    <w:p>
      <w:pPr>
        <w:spacing w:line="360" w:lineRule="auto"/>
        <w:rPr>
          <w:rFonts w:ascii="宋体" w:hAnsi="宋体" w:cs="Arial Unicode MS"/>
          <w:b w:val="0"/>
          <w:bCs/>
          <w:szCs w:val="21"/>
        </w:rPr>
      </w:pPr>
      <w:r>
        <w:rPr>
          <w:rFonts w:hint="eastAsia" w:ascii="宋体" w:hAnsi="宋体"/>
          <w:szCs w:val="21"/>
        </w:rPr>
        <w:t>2</w:t>
      </w:r>
      <w:r>
        <w:rPr>
          <w:rFonts w:hint="eastAsia" w:ascii="宋体" w:hAnsi="宋体"/>
          <w:szCs w:val="21"/>
          <w:lang w:eastAsia="zh-CN"/>
        </w:rPr>
        <w:t>.</w:t>
      </w:r>
      <w:r>
        <w:rPr>
          <w:rFonts w:hint="eastAsia" w:ascii="宋体" w:hAnsi="宋体"/>
          <w:szCs w:val="21"/>
        </w:rPr>
        <w:t>课程表现形式要富有磁性。</w:t>
      </w:r>
      <w:r>
        <w:rPr>
          <w:rFonts w:ascii="宋体" w:hAnsi="宋体" w:cs="Arial Unicode MS"/>
          <w:bCs/>
          <w:szCs w:val="21"/>
        </w:rPr>
        <w:t>“</w:t>
      </w:r>
      <w:r>
        <w:rPr>
          <w:rFonts w:hint="eastAsia" w:ascii="宋体" w:hAnsi="宋体" w:cs="Arial Unicode MS"/>
          <w:bCs/>
          <w:szCs w:val="21"/>
        </w:rPr>
        <w:t>磁性</w:t>
      </w:r>
      <w:r>
        <w:rPr>
          <w:rFonts w:ascii="宋体" w:hAnsi="宋体" w:cs="Arial Unicode MS"/>
          <w:bCs/>
          <w:szCs w:val="21"/>
        </w:rPr>
        <w:t>”</w:t>
      </w:r>
      <w:r>
        <w:rPr>
          <w:rFonts w:hint="eastAsia" w:ascii="宋体" w:hAnsi="宋体" w:cs="Arial Unicode MS"/>
          <w:bCs/>
          <w:szCs w:val="21"/>
        </w:rPr>
        <w:t>泛指吸引力，它是互动的、连续的、充满张力的。据此，我们认为</w:t>
      </w:r>
      <w:r>
        <w:rPr>
          <w:rFonts w:ascii="宋体" w:hAnsi="宋体" w:cs="Arial Unicode MS"/>
          <w:b w:val="0"/>
          <w:bCs/>
          <w:szCs w:val="21"/>
        </w:rPr>
        <w:t>“</w:t>
      </w:r>
      <w:r>
        <w:rPr>
          <w:rFonts w:hint="eastAsia" w:ascii="宋体" w:hAnsi="宋体" w:cs="Arial Unicode MS"/>
          <w:b w:val="0"/>
          <w:bCs/>
          <w:szCs w:val="21"/>
        </w:rPr>
        <w:t>磁性</w:t>
      </w:r>
      <w:r>
        <w:rPr>
          <w:rFonts w:ascii="宋体" w:hAnsi="宋体" w:cs="Arial Unicode MS"/>
          <w:b w:val="0"/>
          <w:bCs/>
          <w:szCs w:val="21"/>
        </w:rPr>
        <w:t>”</w:t>
      </w:r>
      <w:r>
        <w:rPr>
          <w:rFonts w:hint="eastAsia" w:ascii="宋体" w:hAnsi="宋体" w:cs="Arial Unicode MS"/>
          <w:b w:val="0"/>
          <w:bCs/>
          <w:szCs w:val="21"/>
        </w:rPr>
        <w:t>课程应当是一种适合学生、贴近学生，有趣味、有新意、富有吸引力、具有</w:t>
      </w:r>
      <w:r>
        <w:rPr>
          <w:rFonts w:hint="eastAsia" w:ascii="宋体" w:hAnsi="宋体" w:cs="Arial Unicode MS"/>
          <w:b w:val="0"/>
          <w:bCs/>
          <w:color w:val="auto"/>
          <w:szCs w:val="21"/>
        </w:rPr>
        <w:t>黏</w:t>
      </w:r>
      <w:r>
        <w:rPr>
          <w:rFonts w:hint="eastAsia" w:ascii="宋体" w:hAnsi="宋体" w:cs="Arial Unicode MS"/>
          <w:b w:val="0"/>
          <w:bCs/>
          <w:szCs w:val="21"/>
        </w:rPr>
        <w:t>性的课程。</w:t>
      </w:r>
    </w:p>
    <w:p>
      <w:pPr>
        <w:spacing w:line="360" w:lineRule="auto"/>
        <w:ind w:firstLine="420" w:firstLineChars="200"/>
        <w:rPr>
          <w:rFonts w:ascii="宋体" w:hAnsi="宋体" w:cs="Arial Unicode MS"/>
          <w:b/>
          <w:szCs w:val="21"/>
        </w:rPr>
      </w:pPr>
      <w:r>
        <w:rPr>
          <w:rFonts w:hint="eastAsia" w:ascii="宋体" w:hAnsi="宋体" w:cs="Arial Unicode MS"/>
          <w:szCs w:val="21"/>
        </w:rPr>
        <w:t>我校“磁性”课程的特征：</w:t>
      </w:r>
      <w:r>
        <w:rPr>
          <w:rFonts w:hint="eastAsia" w:ascii="宋体" w:hAnsi="宋体" w:cs="Arial Unicode MS"/>
          <w:bCs/>
          <w:szCs w:val="21"/>
        </w:rPr>
        <w:t>课程内容注重奠基，实施形式力求新颖；</w:t>
      </w:r>
      <w:r>
        <w:rPr>
          <w:rFonts w:hint="eastAsia" w:ascii="宋体" w:hAnsi="宋体" w:cs="Arial Unicode MS"/>
          <w:szCs w:val="21"/>
        </w:rPr>
        <w:t>学校整个的课程体系就像一个大磁场，</w:t>
      </w:r>
      <w:r>
        <w:rPr>
          <w:rFonts w:hint="eastAsia" w:ascii="宋体" w:hAnsi="宋体" w:cs="Arial Unicode MS"/>
          <w:szCs w:val="21"/>
          <w:lang w:eastAsia="zh-CN"/>
        </w:rPr>
        <w:t>各类</w:t>
      </w:r>
      <w:r>
        <w:rPr>
          <w:rFonts w:hint="eastAsia" w:ascii="宋体" w:hAnsi="宋体" w:cs="Arial Unicode MS"/>
          <w:szCs w:val="21"/>
        </w:rPr>
        <w:t>课程之间</w:t>
      </w:r>
      <w:r>
        <w:rPr>
          <w:rFonts w:hint="eastAsia" w:ascii="宋体" w:hAnsi="宋体" w:cs="Arial Unicode MS"/>
          <w:szCs w:val="21"/>
          <w:lang w:eastAsia="zh-CN"/>
        </w:rPr>
        <w:t>、课程与课程之间</w:t>
      </w:r>
      <w:r>
        <w:rPr>
          <w:rFonts w:hint="eastAsia" w:ascii="宋体" w:hAnsi="宋体" w:cs="Arial Unicode MS"/>
          <w:szCs w:val="21"/>
        </w:rPr>
        <w:t>相互贯通，相互联系，相互作用，相互吸引；</w:t>
      </w:r>
      <w:r>
        <w:rPr>
          <w:rFonts w:hint="eastAsia" w:ascii="宋体" w:hAnsi="宋体" w:cs="Arial Unicode MS"/>
          <w:bCs/>
          <w:szCs w:val="21"/>
        </w:rPr>
        <w:t>这个磁性的教育场有利于激发学生主动学习和探索的欲望，</w:t>
      </w:r>
      <w:r>
        <w:rPr>
          <w:rFonts w:hint="eastAsia" w:ascii="宋体" w:hAnsi="宋体" w:cs="Arial Unicode MS"/>
          <w:szCs w:val="21"/>
        </w:rPr>
        <w:t>使孩子与知识之间产生美妙的磁性变化。</w:t>
      </w:r>
    </w:p>
    <w:p>
      <w:pPr>
        <w:spacing w:line="360" w:lineRule="auto"/>
        <w:ind w:firstLine="420" w:firstLineChars="200"/>
      </w:pPr>
      <w:r>
        <w:rPr>
          <w:rFonts w:hint="eastAsia" w:ascii="宋体" w:hAnsi="宋体" w:cs="Arial Unicode MS"/>
          <w:szCs w:val="21"/>
        </w:rPr>
        <w:t>我校“磁性”课程的追求：</w:t>
      </w:r>
      <w:r>
        <w:rPr>
          <w:rFonts w:hint="eastAsia" w:ascii="宋体" w:hAnsi="宋体" w:cs="Arial Unicode MS"/>
          <w:szCs w:val="21"/>
          <w:lang w:eastAsia="zh-CN"/>
        </w:rPr>
        <w:t>能满足学生的学习和发展需求。</w:t>
      </w:r>
      <w:r>
        <w:rPr>
          <w:rFonts w:hint="eastAsia" w:ascii="宋体" w:hAnsi="宋体" w:cs="Arial Unicode MS"/>
          <w:szCs w:val="21"/>
        </w:rPr>
        <w:t>每个学生都能根据自</w:t>
      </w:r>
      <w:r>
        <w:rPr>
          <w:rFonts w:hint="eastAsia" w:ascii="宋体" w:hAnsi="宋体" w:cs="Arial Unicode MS"/>
          <w:szCs w:val="21"/>
          <w:lang w:eastAsia="zh-CN"/>
        </w:rPr>
        <w:t>身</w:t>
      </w:r>
      <w:r>
        <w:rPr>
          <w:rFonts w:hint="eastAsia" w:ascii="宋体" w:hAnsi="宋体" w:cs="Arial Unicode MS"/>
          <w:szCs w:val="21"/>
        </w:rPr>
        <w:t>特点选择感兴趣的课程，基础素质和个性特长得到充分的发展，</w:t>
      </w:r>
      <w:r>
        <w:rPr>
          <w:rFonts w:hint="eastAsia" w:ascii="宋体" w:hAnsi="宋体"/>
          <w:szCs w:val="21"/>
        </w:rPr>
        <w:t>为未来发展奠基。</w:t>
      </w:r>
    </w:p>
    <w:p>
      <w:pPr>
        <w:numPr>
          <w:ilvl w:val="0"/>
          <w:numId w:val="1"/>
        </w:numPr>
        <w:spacing w:line="360" w:lineRule="auto"/>
        <w:rPr>
          <w:rFonts w:ascii="宋体" w:hAnsi="宋体" w:cs="宋体"/>
          <w:b/>
          <w:bCs/>
          <w:kern w:val="0"/>
          <w:szCs w:val="21"/>
        </w:rPr>
      </w:pPr>
      <w:r>
        <w:rPr>
          <w:rFonts w:hint="eastAsia"/>
          <w:b/>
        </w:rPr>
        <w:t>注重顶层设计，</w:t>
      </w:r>
      <w:r>
        <w:rPr>
          <w:rFonts w:hint="eastAsia" w:ascii="宋体" w:hAnsi="宋体"/>
          <w:b/>
          <w:kern w:val="0"/>
          <w:szCs w:val="21"/>
        </w:rPr>
        <w:t xml:space="preserve">构建“磁性”课程体系  </w:t>
      </w:r>
    </w:p>
    <w:p>
      <w:pPr>
        <w:spacing w:line="360" w:lineRule="auto"/>
        <w:ind w:firstLine="420" w:firstLineChars="200"/>
        <w:rPr>
          <w:rFonts w:ascii="宋体" w:hAnsi="宋体"/>
          <w:kern w:val="0"/>
          <w:szCs w:val="21"/>
        </w:rPr>
      </w:pPr>
      <w:r>
        <w:rPr>
          <w:rFonts w:hint="eastAsia" w:ascii="宋体" w:hAnsi="宋体"/>
          <w:bCs/>
          <w:kern w:val="0"/>
          <w:szCs w:val="21"/>
        </w:rPr>
        <w:t>按照课程理念及育人目标的要求，</w:t>
      </w:r>
      <w:r>
        <w:rPr>
          <w:rFonts w:hint="eastAsia" w:ascii="宋体" w:hAnsi="宋体"/>
          <w:color w:val="000000"/>
          <w:szCs w:val="21"/>
        </w:rPr>
        <w:t>结合江桥的地域特色和资源，</w:t>
      </w:r>
      <w:r>
        <w:rPr>
          <w:rFonts w:hint="eastAsia" w:ascii="宋体" w:hAnsi="宋体"/>
          <w:kern w:val="0"/>
          <w:szCs w:val="21"/>
        </w:rPr>
        <w:t>从</w:t>
      </w:r>
      <w:r>
        <w:rPr>
          <w:rFonts w:hint="eastAsia" w:ascii="宋体" w:hAnsi="宋体" w:cs="Arial Unicode MS"/>
          <w:kern w:val="0"/>
          <w:szCs w:val="21"/>
        </w:rPr>
        <w:t>“三会一有”四个维度进行设计，</w:t>
      </w:r>
      <w:r>
        <w:rPr>
          <w:rFonts w:hint="eastAsia" w:ascii="宋体" w:hAnsi="宋体"/>
          <w:szCs w:val="21"/>
        </w:rPr>
        <w:t>开发和实施了“学科特色课程”、“实践体验课程”、“专题聚焦课程”</w:t>
      </w:r>
      <w:r>
        <w:rPr>
          <w:rFonts w:hint="eastAsia" w:ascii="宋体" w:hAnsi="宋体"/>
          <w:kern w:val="0"/>
          <w:szCs w:val="21"/>
        </w:rPr>
        <w:t>三大类课程，形成了“三会一有”“磁性”课程体系。</w:t>
      </w:r>
    </w:p>
    <w:p>
      <w:pPr>
        <w:spacing w:line="360" w:lineRule="auto"/>
        <w:ind w:firstLine="420" w:firstLineChars="200"/>
      </w:pPr>
      <w:r>
        <w:rPr>
          <w:rFonts w:hint="eastAsia"/>
          <w:b/>
          <w:bCs/>
        </w:rPr>
        <w:t>学科特色课程</w:t>
      </w:r>
      <w:r>
        <w:rPr>
          <w:rFonts w:hint="eastAsia"/>
        </w:rPr>
        <w:t>：包括学科基础课程和</w:t>
      </w:r>
      <w:r>
        <w:t>学科</w:t>
      </w:r>
      <w:r>
        <w:rPr>
          <w:rFonts w:hint="eastAsia"/>
        </w:rPr>
        <w:t>拓展</w:t>
      </w:r>
      <w:r>
        <w:t>课程</w:t>
      </w:r>
      <w:r>
        <w:rPr>
          <w:rFonts w:hint="eastAsia"/>
        </w:rPr>
        <w:t>，</w:t>
      </w:r>
      <w:r>
        <w:t>旨在培养学生的学科核心素养，提升思维品质。</w:t>
      </w:r>
      <w:r>
        <w:rPr>
          <w:rFonts w:hint="eastAsia"/>
        </w:rPr>
        <w:t>共有近</w:t>
      </w:r>
      <w:r>
        <w:rPr>
          <w:rFonts w:hint="eastAsia"/>
          <w:lang w:val="en-US" w:eastAsia="zh-CN"/>
        </w:rPr>
        <w:t>6</w:t>
      </w:r>
      <w:r>
        <w:rPr>
          <w:rFonts w:hint="eastAsia"/>
        </w:rPr>
        <w:t>0门</w:t>
      </w:r>
      <w:r>
        <w:t>学科</w:t>
      </w:r>
      <w:r>
        <w:rPr>
          <w:rFonts w:hint="eastAsia"/>
        </w:rPr>
        <w:t>拓展</w:t>
      </w:r>
      <w:r>
        <w:t>课程</w:t>
      </w:r>
      <w:r>
        <w:rPr>
          <w:rFonts w:hint="eastAsia"/>
        </w:rPr>
        <w:t>，</w:t>
      </w:r>
      <w:r>
        <w:t>可满足各年级学生的兴趣爱好及个性化学习需求。</w:t>
      </w:r>
    </w:p>
    <w:p>
      <w:pPr>
        <w:spacing w:line="360" w:lineRule="auto"/>
        <w:ind w:firstLine="420" w:firstLineChars="200"/>
      </w:pPr>
      <w:r>
        <w:rPr>
          <w:rFonts w:hint="eastAsia"/>
          <w:b/>
          <w:bCs/>
        </w:rPr>
        <w:t>实践体验课程</w:t>
      </w:r>
      <w:r>
        <w:rPr>
          <w:rFonts w:hint="eastAsia"/>
        </w:rPr>
        <w:t>：包括节庆教育、仪式教育、主题教育和具有校本特色的以“</w:t>
      </w:r>
      <w:r>
        <w:rPr>
          <w:rFonts w:hint="eastAsia"/>
          <w:color w:val="auto"/>
        </w:rPr>
        <w:t>责任</w:t>
      </w:r>
      <w:r>
        <w:rPr>
          <w:rFonts w:hint="eastAsia"/>
          <w:color w:val="auto"/>
          <w:lang w:eastAsia="zh-CN"/>
        </w:rPr>
        <w:t>感培养</w:t>
      </w:r>
      <w:r>
        <w:rPr>
          <w:rFonts w:hint="eastAsia"/>
        </w:rPr>
        <w:t>”为核心的分年级递进式综合社会实践活动课程。</w:t>
      </w:r>
    </w:p>
    <w:p>
      <w:pPr>
        <w:spacing w:line="360" w:lineRule="auto"/>
        <w:ind w:firstLine="420" w:firstLineChars="200"/>
        <w:rPr>
          <w:rFonts w:hint="eastAsia"/>
        </w:rPr>
      </w:pPr>
      <w:r>
        <w:rPr>
          <w:rFonts w:hint="eastAsia"/>
          <w:b/>
          <w:bCs/>
        </w:rPr>
        <w:t>专题聚焦课程</w:t>
      </w:r>
      <w:r>
        <w:rPr>
          <w:rFonts w:hint="eastAsia"/>
        </w:rPr>
        <w:t>：以知识教育为主，面向全体学生，分年级实施的“三会一有”专题教育课程（道德品质奠基课程、学习品质奠基课程、生活</w:t>
      </w:r>
      <w:r>
        <w:rPr>
          <w:rFonts w:hint="eastAsia"/>
          <w:lang w:eastAsia="zh-CN"/>
        </w:rPr>
        <w:t>品质</w:t>
      </w:r>
      <w:r>
        <w:rPr>
          <w:rFonts w:hint="eastAsia"/>
        </w:rPr>
        <w:t>奠基课程、个性特长奠基课程）。</w:t>
      </w:r>
    </w:p>
    <w:p>
      <w:pPr>
        <w:spacing w:line="360" w:lineRule="auto"/>
        <w:ind w:firstLine="420" w:firstLineChars="200"/>
        <w:rPr>
          <w:rFonts w:hint="eastAsia"/>
          <w:lang w:eastAsia="zh-CN"/>
        </w:rPr>
      </w:pPr>
      <w:r>
        <w:rPr>
          <w:rFonts w:hint="eastAsia"/>
          <w:lang w:val="en-US" w:eastAsia="zh-CN"/>
        </w:rPr>
        <w:t xml:space="preserve"> </w:t>
      </w:r>
      <w:r>
        <w:rPr>
          <w:rFonts w:hint="eastAsia"/>
          <w:b/>
          <w:bCs/>
          <w:lang w:eastAsia="zh-CN"/>
        </w:rPr>
        <w:t>学校课程结构图：</w:t>
      </w:r>
    </w:p>
    <w:p>
      <w:pPr>
        <w:spacing w:line="360" w:lineRule="auto"/>
        <w:ind w:firstLine="420" w:firstLineChars="200"/>
        <w:rPr>
          <w:rFonts w:hint="eastAsia"/>
          <w:lang w:val="en-US" w:eastAsia="zh-CN"/>
        </w:rPr>
      </w:pPr>
    </w:p>
    <w:p>
      <w:pPr>
        <w:spacing w:line="360" w:lineRule="auto"/>
        <w:ind w:firstLine="420" w:firstLineChars="200"/>
        <w:rPr>
          <w:rFonts w:hint="eastAsia" w:eastAsiaTheme="minorEastAsia"/>
          <w:lang w:eastAsia="zh-CN"/>
        </w:rPr>
      </w:pPr>
      <w:r>
        <w:drawing>
          <wp:inline distT="0" distB="0" distL="0" distR="0">
            <wp:extent cx="5274310" cy="3076575"/>
            <wp:effectExtent l="38100" t="0" r="78740" b="0"/>
            <wp:docPr id="2" name="图示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pPr>
        <w:spacing w:line="360" w:lineRule="auto"/>
        <w:ind w:firstLine="420" w:firstLineChars="200"/>
      </w:pPr>
      <w:r>
        <w:rPr>
          <w:rFonts w:hint="eastAsia"/>
        </w:rPr>
        <w:t>以上三类课程是对上海市中小学三类课程的校本化落实。学科特色类的</w:t>
      </w:r>
      <w:r>
        <w:rPr>
          <w:rFonts w:hint="eastAsia"/>
          <w:lang w:eastAsia="zh-CN"/>
        </w:rPr>
        <w:t>“</w:t>
      </w:r>
      <w:r>
        <w:rPr>
          <w:rFonts w:hint="eastAsia"/>
        </w:rPr>
        <w:t>学科基础课程</w:t>
      </w:r>
      <w:r>
        <w:rPr>
          <w:rFonts w:hint="eastAsia"/>
          <w:lang w:eastAsia="zh-CN"/>
        </w:rPr>
        <w:t>”即</w:t>
      </w:r>
      <w:r>
        <w:rPr>
          <w:rFonts w:hint="eastAsia"/>
        </w:rPr>
        <w:t>基础型课程，</w:t>
      </w:r>
      <w:r>
        <w:rPr>
          <w:rFonts w:hint="eastAsia"/>
          <w:lang w:eastAsia="zh-CN"/>
        </w:rPr>
        <w:t>“</w:t>
      </w:r>
      <w:r>
        <w:t>学科</w:t>
      </w:r>
      <w:r>
        <w:rPr>
          <w:rFonts w:hint="eastAsia"/>
        </w:rPr>
        <w:t>拓展</w:t>
      </w:r>
      <w:r>
        <w:t>课程</w:t>
      </w:r>
      <w:r>
        <w:rPr>
          <w:rFonts w:hint="eastAsia"/>
          <w:lang w:eastAsia="zh-CN"/>
        </w:rPr>
        <w:t>”即</w:t>
      </w:r>
      <w:r>
        <w:rPr>
          <w:rFonts w:hint="eastAsia"/>
        </w:rPr>
        <w:t>拓展型课程</w:t>
      </w:r>
      <w:r>
        <w:rPr>
          <w:rFonts w:hint="eastAsia"/>
          <w:lang w:eastAsia="zh-CN"/>
        </w:rPr>
        <w:t>中的“自主拓展课程”</w:t>
      </w:r>
      <w:r>
        <w:rPr>
          <w:rFonts w:hint="eastAsia"/>
        </w:rPr>
        <w:t>；知行合一的实践体验类</w:t>
      </w:r>
      <w:r>
        <w:rPr>
          <w:rFonts w:hint="eastAsia"/>
          <w:lang w:eastAsia="zh-CN"/>
        </w:rPr>
        <w:t>课程</w:t>
      </w:r>
      <w:r>
        <w:rPr>
          <w:rFonts w:hint="eastAsia"/>
        </w:rPr>
        <w:t>（侧重体验）和专题聚焦类课程（侧重认知）对</w:t>
      </w:r>
      <w:r>
        <w:rPr>
          <w:rFonts w:hint="eastAsia"/>
          <w:lang w:eastAsia="zh-CN"/>
        </w:rPr>
        <w:t>应</w:t>
      </w:r>
      <w:r>
        <w:rPr>
          <w:rFonts w:hint="eastAsia"/>
        </w:rPr>
        <w:t>的是拓展型课程</w:t>
      </w:r>
      <w:r>
        <w:rPr>
          <w:rFonts w:hint="eastAsia"/>
          <w:lang w:eastAsia="zh-CN"/>
        </w:rPr>
        <w:t>中的“限定拓展课程”</w:t>
      </w:r>
      <w:r>
        <w:rPr>
          <w:rFonts w:hint="eastAsia"/>
        </w:rPr>
        <w:t>和探究型课程。有的课程兼具拓展和探究的</w:t>
      </w:r>
      <w:r>
        <w:rPr>
          <w:rFonts w:hint="eastAsia"/>
          <w:lang w:eastAsia="zh-CN"/>
        </w:rPr>
        <w:t>元素</w:t>
      </w:r>
      <w:r>
        <w:rPr>
          <w:rFonts w:hint="eastAsia"/>
        </w:rPr>
        <w:t>，如《走近虬江河》、《中德文化交流》等。</w:t>
      </w:r>
    </w:p>
    <w:p>
      <w:pPr>
        <w:spacing w:line="360" w:lineRule="auto"/>
        <w:rPr>
          <w:b/>
        </w:rPr>
      </w:pPr>
      <w:r>
        <w:rPr>
          <w:rFonts w:hint="eastAsia"/>
          <w:b/>
        </w:rPr>
        <w:t xml:space="preserve">三、着力课程创新, 创生深化“磁性”课程  </w:t>
      </w:r>
    </w:p>
    <w:p>
      <w:pPr>
        <w:spacing w:line="360" w:lineRule="auto"/>
        <w:ind w:firstLine="420" w:firstLineChars="200"/>
        <w:rPr>
          <w:rFonts w:ascii="宋体" w:hAnsi="宋体"/>
          <w:szCs w:val="21"/>
        </w:rPr>
      </w:pPr>
      <w:r>
        <w:rPr>
          <w:rFonts w:hint="eastAsia" w:ascii="宋体" w:hAnsi="宋体"/>
          <w:kern w:val="0"/>
          <w:szCs w:val="21"/>
        </w:rPr>
        <w:t>除传承深化已有的特色课程外，</w:t>
      </w:r>
      <w:r>
        <w:rPr>
          <w:rFonts w:hint="eastAsia" w:ascii="宋体" w:hAnsi="宋体" w:cs="Arial Unicode MS"/>
          <w:kern w:val="0"/>
          <w:szCs w:val="21"/>
        </w:rPr>
        <w:t>依托</w:t>
      </w:r>
      <w:r>
        <w:rPr>
          <w:rFonts w:hint="eastAsia" w:ascii="宋体" w:hAnsi="宋体" w:cs="Arial Unicode MS"/>
          <w:kern w:val="0"/>
          <w:szCs w:val="21"/>
          <w:lang w:eastAsia="zh-CN"/>
        </w:rPr>
        <w:t>各类</w:t>
      </w:r>
      <w:r>
        <w:rPr>
          <w:rFonts w:hint="eastAsia" w:ascii="宋体" w:hAnsi="宋体" w:cs="Arial Unicode MS"/>
          <w:kern w:val="0"/>
          <w:szCs w:val="21"/>
        </w:rPr>
        <w:t>优质资源开发实施新的磁性课程，不断完善优化课程体系，</w:t>
      </w:r>
      <w:r>
        <w:rPr>
          <w:rFonts w:hint="eastAsia" w:ascii="宋体" w:hAnsi="宋体"/>
          <w:szCs w:val="21"/>
        </w:rPr>
        <w:t>丰富学生学习经历。</w:t>
      </w:r>
    </w:p>
    <w:p>
      <w:pPr>
        <w:spacing w:line="360" w:lineRule="auto"/>
        <w:ind w:firstLine="420" w:firstLineChars="200"/>
        <w:rPr>
          <w:color w:val="4472C4" w:themeColor="accent1"/>
          <w14:textFill>
            <w14:solidFill>
              <w14:schemeClr w14:val="accent1"/>
            </w14:solidFill>
          </w14:textFill>
        </w:rPr>
      </w:pPr>
      <w:r>
        <w:rPr>
          <w:rFonts w:hint="eastAsia"/>
          <w:b/>
        </w:rPr>
        <w:t>学科特色类：</w:t>
      </w:r>
      <w:r>
        <w:rPr>
          <w:rFonts w:hint="eastAsia"/>
          <w:bCs/>
        </w:rPr>
        <w:t>形成了人文</w:t>
      </w:r>
      <w:r>
        <w:rPr>
          <w:rFonts w:hint="eastAsia"/>
          <w:bCs/>
          <w:lang w:eastAsia="zh-CN"/>
        </w:rPr>
        <w:t>、</w:t>
      </w:r>
      <w:r>
        <w:rPr>
          <w:rFonts w:hint="eastAsia"/>
        </w:rPr>
        <w:t>艺术</w:t>
      </w:r>
      <w:r>
        <w:rPr>
          <w:rFonts w:hint="eastAsia"/>
          <w:lang w:eastAsia="zh-CN"/>
        </w:rPr>
        <w:t>、</w:t>
      </w:r>
      <w:r>
        <w:rPr>
          <w:rFonts w:hint="eastAsia"/>
        </w:rPr>
        <w:t>体育</w:t>
      </w:r>
      <w:r>
        <w:rPr>
          <w:rFonts w:hint="eastAsia"/>
          <w:lang w:eastAsia="zh-CN"/>
        </w:rPr>
        <w:t>等</w:t>
      </w:r>
      <w:r>
        <w:rPr>
          <w:rFonts w:hint="eastAsia"/>
        </w:rPr>
        <w:t>学科</w:t>
      </w:r>
      <w:r>
        <w:rPr>
          <w:rFonts w:hint="eastAsia"/>
          <w:lang w:eastAsia="zh-CN"/>
        </w:rPr>
        <w:t>的</w:t>
      </w:r>
      <w:r>
        <w:rPr>
          <w:rFonts w:hint="eastAsia"/>
        </w:rPr>
        <w:t>磁性课程，</w:t>
      </w:r>
      <w:r>
        <w:rPr>
          <w:rFonts w:hint="eastAsia" w:ascii="宋体" w:hAnsi="宋体"/>
          <w:szCs w:val="21"/>
        </w:rPr>
        <w:t>逐步凸显“人文、艺术”课程特色。</w:t>
      </w:r>
      <w:r>
        <w:rPr>
          <w:rFonts w:hint="eastAsia"/>
          <w:color w:val="4472C4" w:themeColor="accent1"/>
          <w14:textFill>
            <w14:solidFill>
              <w14:schemeClr w14:val="accent1"/>
            </w14:solidFill>
          </w14:textFill>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3260"/>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122" w:type="dxa"/>
            <w:shd w:val="clear" w:color="auto" w:fill="BDD6EE" w:themeFill="accent5" w:themeFillTint="66"/>
            <w:vAlign w:val="center"/>
          </w:tcPr>
          <w:p>
            <w:pPr>
              <w:jc w:val="center"/>
              <w:rPr>
                <w:b/>
                <w:bCs/>
                <w:szCs w:val="21"/>
              </w:rPr>
            </w:pPr>
            <w:r>
              <w:rPr>
                <w:rFonts w:hint="eastAsia"/>
                <w:b/>
                <w:bCs/>
                <w:szCs w:val="21"/>
              </w:rPr>
              <w:t>学科</w:t>
            </w:r>
          </w:p>
        </w:tc>
        <w:tc>
          <w:tcPr>
            <w:tcW w:w="3260" w:type="dxa"/>
            <w:shd w:val="clear" w:color="auto" w:fill="BDD6EE" w:themeFill="accent5" w:themeFillTint="66"/>
            <w:vAlign w:val="center"/>
          </w:tcPr>
          <w:p>
            <w:pPr>
              <w:jc w:val="center"/>
              <w:rPr>
                <w:b/>
                <w:bCs/>
                <w:szCs w:val="21"/>
              </w:rPr>
            </w:pPr>
            <w:r>
              <w:rPr>
                <w:rFonts w:hint="eastAsia"/>
                <w:b/>
                <w:bCs/>
                <w:szCs w:val="21"/>
              </w:rPr>
              <w:t>课程</w:t>
            </w:r>
          </w:p>
        </w:tc>
        <w:tc>
          <w:tcPr>
            <w:tcW w:w="2914" w:type="dxa"/>
            <w:shd w:val="clear" w:color="auto" w:fill="BDD6EE" w:themeFill="accent5" w:themeFillTint="66"/>
            <w:vAlign w:val="center"/>
          </w:tcPr>
          <w:p>
            <w:pPr>
              <w:jc w:val="center"/>
              <w:rPr>
                <w:b/>
                <w:bCs/>
                <w:szCs w:val="21"/>
              </w:rPr>
            </w:pPr>
            <w:r>
              <w:rPr>
                <w:rFonts w:hint="eastAsia"/>
                <w:b/>
                <w:bCs/>
                <w:szCs w:val="21"/>
                <w:lang w:eastAsia="zh-CN"/>
              </w:rPr>
              <w:t>实施</w:t>
            </w:r>
            <w:r>
              <w:rPr>
                <w:rFonts w:hint="eastAsia"/>
                <w:b/>
                <w:bCs/>
                <w:szCs w:val="21"/>
              </w:rPr>
              <w:t>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2122" w:type="dxa"/>
            <w:vMerge w:val="restart"/>
            <w:vAlign w:val="center"/>
          </w:tcPr>
          <w:p>
            <w:pPr>
              <w:jc w:val="center"/>
              <w:rPr>
                <w:b/>
                <w:bCs/>
                <w:szCs w:val="21"/>
              </w:rPr>
            </w:pPr>
            <w:r>
              <w:rPr>
                <w:rFonts w:hint="eastAsia"/>
                <w:b/>
                <w:bCs/>
                <w:szCs w:val="21"/>
              </w:rPr>
              <w:t>人文</w:t>
            </w:r>
          </w:p>
        </w:tc>
        <w:tc>
          <w:tcPr>
            <w:tcW w:w="3260" w:type="dxa"/>
            <w:vAlign w:val="center"/>
          </w:tcPr>
          <w:p>
            <w:pPr>
              <w:jc w:val="center"/>
              <w:rPr>
                <w:b/>
                <w:bCs/>
                <w:szCs w:val="21"/>
              </w:rPr>
            </w:pPr>
            <w:r>
              <w:rPr>
                <w:b/>
                <w:bCs/>
                <w:color w:val="auto"/>
                <w:szCs w:val="21"/>
              </w:rPr>
              <w:t>《“慧雅学子”经典导读》</w:t>
            </w:r>
          </w:p>
        </w:tc>
        <w:tc>
          <w:tcPr>
            <w:tcW w:w="2914" w:type="dxa"/>
            <w:vAlign w:val="center"/>
          </w:tcPr>
          <w:p>
            <w:pPr>
              <w:jc w:val="center"/>
              <w:rPr>
                <w:rFonts w:hint="eastAsia" w:eastAsiaTheme="minorEastAsia"/>
                <w:b/>
                <w:bCs/>
                <w:szCs w:val="21"/>
                <w:lang w:eastAsia="zh-CN"/>
              </w:rPr>
            </w:pPr>
            <w:r>
              <w:rPr>
                <w:rFonts w:hint="eastAsia"/>
                <w:b/>
                <w:bCs/>
                <w:szCs w:val="21"/>
              </w:rPr>
              <w:t>六、七</w:t>
            </w:r>
            <w:r>
              <w:rPr>
                <w:rFonts w:hint="eastAsia"/>
                <w:b/>
                <w:bCs/>
                <w:szCs w:val="21"/>
                <w:lang w:eastAsia="zh-CN"/>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2122" w:type="dxa"/>
            <w:vMerge w:val="continue"/>
            <w:vAlign w:val="center"/>
          </w:tcPr>
          <w:p>
            <w:pPr>
              <w:jc w:val="center"/>
              <w:rPr>
                <w:b/>
                <w:bCs/>
                <w:szCs w:val="21"/>
              </w:rPr>
            </w:pPr>
          </w:p>
        </w:tc>
        <w:tc>
          <w:tcPr>
            <w:tcW w:w="3260" w:type="dxa"/>
            <w:vAlign w:val="center"/>
          </w:tcPr>
          <w:p>
            <w:pPr>
              <w:jc w:val="center"/>
              <w:rPr>
                <w:b/>
                <w:bCs/>
                <w:szCs w:val="21"/>
              </w:rPr>
            </w:pPr>
            <w:r>
              <w:rPr>
                <w:b/>
                <w:bCs/>
                <w:szCs w:val="21"/>
              </w:rPr>
              <w:t>《“慧德学子”经典导学》</w:t>
            </w:r>
          </w:p>
        </w:tc>
        <w:tc>
          <w:tcPr>
            <w:tcW w:w="2914" w:type="dxa"/>
            <w:vAlign w:val="center"/>
          </w:tcPr>
          <w:p>
            <w:pPr>
              <w:jc w:val="center"/>
              <w:rPr>
                <w:b/>
                <w:bCs/>
                <w:szCs w:val="21"/>
              </w:rPr>
            </w:pPr>
            <w:r>
              <w:rPr>
                <w:rFonts w:hint="eastAsia"/>
                <w:b/>
                <w:bCs/>
                <w:szCs w:val="21"/>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2122" w:type="dxa"/>
            <w:vMerge w:val="restart"/>
            <w:vAlign w:val="center"/>
          </w:tcPr>
          <w:p>
            <w:pPr>
              <w:jc w:val="center"/>
              <w:rPr>
                <w:b/>
                <w:bCs/>
                <w:szCs w:val="21"/>
              </w:rPr>
            </w:pPr>
            <w:r>
              <w:rPr>
                <w:rFonts w:hint="eastAsia"/>
                <w:b/>
                <w:bCs/>
                <w:szCs w:val="21"/>
              </w:rPr>
              <w:t>艺术</w:t>
            </w:r>
          </w:p>
        </w:tc>
        <w:tc>
          <w:tcPr>
            <w:tcW w:w="3260" w:type="dxa"/>
            <w:vAlign w:val="center"/>
          </w:tcPr>
          <w:p>
            <w:pPr>
              <w:jc w:val="center"/>
              <w:rPr>
                <w:b/>
                <w:bCs/>
                <w:szCs w:val="21"/>
              </w:rPr>
            </w:pPr>
            <w:r>
              <w:rPr>
                <w:b/>
                <w:bCs/>
                <w:szCs w:val="21"/>
              </w:rPr>
              <w:t>《“慧心雅趣”陶艺》</w:t>
            </w:r>
          </w:p>
        </w:tc>
        <w:tc>
          <w:tcPr>
            <w:tcW w:w="2914" w:type="dxa"/>
            <w:vAlign w:val="center"/>
          </w:tcPr>
          <w:p>
            <w:pPr>
              <w:jc w:val="center"/>
              <w:rPr>
                <w:b/>
                <w:bCs/>
                <w:szCs w:val="21"/>
              </w:rPr>
            </w:pPr>
            <w:r>
              <w:rPr>
                <w:rFonts w:hint="eastAsia"/>
                <w:b/>
                <w:bCs/>
                <w:szCs w:val="21"/>
              </w:rPr>
              <w:t>六、七、</w:t>
            </w:r>
            <w:r>
              <w:rPr>
                <w:rFonts w:hint="eastAsia"/>
                <w:b/>
                <w:bCs/>
                <w:color w:val="auto"/>
                <w:szCs w:val="21"/>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2122" w:type="dxa"/>
            <w:vMerge w:val="continue"/>
            <w:vAlign w:val="center"/>
          </w:tcPr>
          <w:p>
            <w:pPr>
              <w:jc w:val="center"/>
              <w:rPr>
                <w:b/>
                <w:bCs/>
                <w:szCs w:val="21"/>
              </w:rPr>
            </w:pPr>
          </w:p>
        </w:tc>
        <w:tc>
          <w:tcPr>
            <w:tcW w:w="3260" w:type="dxa"/>
            <w:vAlign w:val="center"/>
          </w:tcPr>
          <w:p>
            <w:pPr>
              <w:jc w:val="center"/>
              <w:rPr>
                <w:b/>
                <w:bCs/>
                <w:szCs w:val="21"/>
              </w:rPr>
            </w:pPr>
            <w:r>
              <w:rPr>
                <w:b/>
                <w:bCs/>
                <w:szCs w:val="21"/>
              </w:rPr>
              <w:t>《“快乐音乐”管乐团》</w:t>
            </w:r>
          </w:p>
        </w:tc>
        <w:tc>
          <w:tcPr>
            <w:tcW w:w="2914" w:type="dxa"/>
            <w:vAlign w:val="center"/>
          </w:tcPr>
          <w:p>
            <w:pPr>
              <w:jc w:val="center"/>
              <w:rPr>
                <w:b/>
                <w:bCs/>
                <w:szCs w:val="21"/>
              </w:rPr>
            </w:pPr>
            <w:r>
              <w:rPr>
                <w:rFonts w:hint="eastAsia"/>
                <w:b/>
                <w:bCs/>
                <w:szCs w:val="21"/>
              </w:rPr>
              <w:t>六、七、八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2122" w:type="dxa"/>
            <w:vMerge w:val="restart"/>
            <w:vAlign w:val="center"/>
          </w:tcPr>
          <w:p>
            <w:pPr>
              <w:jc w:val="center"/>
              <w:rPr>
                <w:b/>
                <w:bCs/>
                <w:szCs w:val="21"/>
              </w:rPr>
            </w:pPr>
            <w:r>
              <w:rPr>
                <w:rFonts w:hint="eastAsia"/>
                <w:b/>
                <w:bCs/>
                <w:szCs w:val="21"/>
              </w:rPr>
              <w:t>体育</w:t>
            </w:r>
          </w:p>
        </w:tc>
        <w:tc>
          <w:tcPr>
            <w:tcW w:w="3260" w:type="dxa"/>
            <w:vAlign w:val="center"/>
          </w:tcPr>
          <w:p>
            <w:pPr>
              <w:jc w:val="center"/>
              <w:rPr>
                <w:b/>
                <w:bCs/>
                <w:szCs w:val="21"/>
              </w:rPr>
            </w:pPr>
            <w:r>
              <w:rPr>
                <w:b/>
                <w:bCs/>
                <w:szCs w:val="21"/>
              </w:rPr>
              <w:t>《“活力宝贝”足球》</w:t>
            </w:r>
          </w:p>
        </w:tc>
        <w:tc>
          <w:tcPr>
            <w:tcW w:w="2914" w:type="dxa"/>
            <w:vAlign w:val="center"/>
          </w:tcPr>
          <w:p>
            <w:pPr>
              <w:jc w:val="center"/>
              <w:rPr>
                <w:rFonts w:hint="eastAsia" w:eastAsiaTheme="minorEastAsia"/>
                <w:b/>
                <w:bCs/>
                <w:szCs w:val="21"/>
                <w:lang w:eastAsia="zh-CN"/>
              </w:rPr>
            </w:pPr>
            <w:r>
              <w:rPr>
                <w:rFonts w:hint="eastAsia"/>
                <w:b/>
                <w:bCs/>
                <w:color w:val="auto"/>
                <w:szCs w:val="21"/>
              </w:rPr>
              <w:t>六、七</w:t>
            </w:r>
            <w:r>
              <w:rPr>
                <w:rFonts w:hint="eastAsia"/>
                <w:b/>
                <w:bCs/>
                <w:color w:val="auto"/>
                <w:szCs w:val="21"/>
                <w:lang w:eastAsia="zh-CN"/>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122" w:type="dxa"/>
            <w:vMerge w:val="continue"/>
            <w:vAlign w:val="center"/>
          </w:tcPr>
          <w:p>
            <w:pPr>
              <w:jc w:val="center"/>
              <w:rPr>
                <w:b/>
                <w:bCs/>
                <w:szCs w:val="21"/>
              </w:rPr>
            </w:pPr>
          </w:p>
        </w:tc>
        <w:tc>
          <w:tcPr>
            <w:tcW w:w="3260" w:type="dxa"/>
            <w:vAlign w:val="center"/>
          </w:tcPr>
          <w:p>
            <w:pPr>
              <w:jc w:val="center"/>
              <w:rPr>
                <w:b/>
                <w:bCs/>
                <w:szCs w:val="21"/>
              </w:rPr>
            </w:pPr>
            <w:r>
              <w:rPr>
                <w:b/>
                <w:bCs/>
                <w:szCs w:val="21"/>
              </w:rPr>
              <w:t>《“羽翼飞扬”羽毛球》</w:t>
            </w:r>
          </w:p>
        </w:tc>
        <w:tc>
          <w:tcPr>
            <w:tcW w:w="2914" w:type="dxa"/>
            <w:vAlign w:val="center"/>
          </w:tcPr>
          <w:p>
            <w:pPr>
              <w:jc w:val="center"/>
              <w:rPr>
                <w:rFonts w:hint="eastAsia" w:eastAsiaTheme="minorEastAsia"/>
                <w:b/>
                <w:bCs/>
                <w:szCs w:val="21"/>
                <w:lang w:eastAsia="zh-CN"/>
              </w:rPr>
            </w:pPr>
            <w:r>
              <w:rPr>
                <w:rFonts w:hint="eastAsia"/>
                <w:b/>
                <w:bCs/>
                <w:color w:val="auto"/>
                <w:szCs w:val="21"/>
              </w:rPr>
              <w:t>六</w:t>
            </w:r>
            <w:r>
              <w:rPr>
                <w:rFonts w:hint="eastAsia"/>
                <w:b/>
                <w:bCs/>
                <w:color w:val="auto"/>
                <w:szCs w:val="21"/>
                <w:lang w:eastAsia="zh-CN"/>
              </w:rPr>
              <w:t>、七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122" w:type="dxa"/>
            <w:vMerge w:val="continue"/>
            <w:vAlign w:val="center"/>
          </w:tcPr>
          <w:p>
            <w:pPr>
              <w:jc w:val="center"/>
              <w:rPr>
                <w:b/>
                <w:bCs/>
                <w:szCs w:val="21"/>
              </w:rPr>
            </w:pPr>
          </w:p>
        </w:tc>
        <w:tc>
          <w:tcPr>
            <w:tcW w:w="3260" w:type="dxa"/>
            <w:vAlign w:val="center"/>
          </w:tcPr>
          <w:p>
            <w:pPr>
              <w:jc w:val="center"/>
              <w:rPr>
                <w:b/>
                <w:bCs/>
                <w:szCs w:val="21"/>
              </w:rPr>
            </w:pPr>
            <w:r>
              <w:rPr>
                <w:b/>
                <w:bCs/>
                <w:szCs w:val="21"/>
              </w:rPr>
              <w:t>《“青春律动”健美操》</w:t>
            </w:r>
          </w:p>
        </w:tc>
        <w:tc>
          <w:tcPr>
            <w:tcW w:w="2914" w:type="dxa"/>
            <w:vAlign w:val="center"/>
          </w:tcPr>
          <w:p>
            <w:pPr>
              <w:jc w:val="center"/>
              <w:rPr>
                <w:b/>
                <w:bCs/>
                <w:szCs w:val="21"/>
              </w:rPr>
            </w:pPr>
            <w:r>
              <w:rPr>
                <w:rFonts w:hint="eastAsia"/>
                <w:b/>
                <w:bCs/>
                <w:szCs w:val="21"/>
              </w:rPr>
              <w:t>六、七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122" w:type="dxa"/>
            <w:vAlign w:val="center"/>
          </w:tcPr>
          <w:p>
            <w:pPr>
              <w:jc w:val="center"/>
              <w:rPr>
                <w:b/>
                <w:bCs/>
                <w:szCs w:val="21"/>
              </w:rPr>
            </w:pPr>
            <w:r>
              <w:rPr>
                <w:rFonts w:hint="eastAsia"/>
                <w:b/>
                <w:bCs/>
                <w:szCs w:val="21"/>
              </w:rPr>
              <w:t>科技</w:t>
            </w:r>
          </w:p>
        </w:tc>
        <w:tc>
          <w:tcPr>
            <w:tcW w:w="3260" w:type="dxa"/>
            <w:vAlign w:val="center"/>
          </w:tcPr>
          <w:p>
            <w:pPr>
              <w:jc w:val="center"/>
              <w:rPr>
                <w:b/>
                <w:bCs/>
                <w:szCs w:val="21"/>
              </w:rPr>
            </w:pPr>
            <w:r>
              <w:rPr>
                <w:rFonts w:hint="eastAsia"/>
                <w:b/>
                <w:bCs/>
                <w:szCs w:val="21"/>
              </w:rPr>
              <w:t>《</w:t>
            </w:r>
            <w:r>
              <w:rPr>
                <w:b/>
                <w:bCs/>
                <w:szCs w:val="21"/>
              </w:rPr>
              <w:t>STEM+课程》</w:t>
            </w:r>
          </w:p>
        </w:tc>
        <w:tc>
          <w:tcPr>
            <w:tcW w:w="2914" w:type="dxa"/>
            <w:vAlign w:val="center"/>
          </w:tcPr>
          <w:p>
            <w:pPr>
              <w:jc w:val="center"/>
              <w:rPr>
                <w:b/>
                <w:bCs/>
                <w:szCs w:val="21"/>
              </w:rPr>
            </w:pPr>
            <w:r>
              <w:rPr>
                <w:rFonts w:hint="eastAsia"/>
                <w:b/>
                <w:bCs/>
                <w:szCs w:val="21"/>
              </w:rPr>
              <w:t>六、七</w:t>
            </w:r>
          </w:p>
        </w:tc>
      </w:tr>
    </w:tbl>
    <w:p>
      <w:pPr>
        <w:spacing w:line="360" w:lineRule="auto"/>
        <w:ind w:firstLine="2521" w:firstLineChars="1200"/>
        <w:rPr>
          <w:rFonts w:hint="eastAsia" w:eastAsiaTheme="minorEastAsia"/>
          <w:b/>
          <w:bCs/>
          <w:lang w:val="en-US" w:eastAsia="zh-CN"/>
        </w:rPr>
      </w:pPr>
      <w:r>
        <w:rPr>
          <w:rFonts w:hint="eastAsia"/>
          <w:b/>
          <w:bCs/>
          <w:lang w:val="en-US" w:eastAsia="zh-CN"/>
        </w:rPr>
        <w:t>表一：学科特色类磁性课程</w:t>
      </w:r>
    </w:p>
    <w:p>
      <w:pPr>
        <w:spacing w:line="360" w:lineRule="auto"/>
        <w:ind w:firstLine="420" w:firstLineChars="200"/>
        <w:rPr>
          <w:color w:val="4472C4" w:themeColor="accent1"/>
          <w14:textFill>
            <w14:solidFill>
              <w14:schemeClr w14:val="accent1"/>
            </w14:solidFill>
          </w14:textFill>
        </w:rPr>
      </w:pPr>
      <w:r>
        <w:rPr>
          <w:rFonts w:hint="eastAsia"/>
          <w:b/>
          <w:bCs/>
        </w:rPr>
        <w:t>实践体验类：</w:t>
      </w:r>
      <w:r>
        <w:rPr>
          <w:rFonts w:hint="eastAsia"/>
        </w:rPr>
        <w:t>形成了六到九年级“对自己负责、对家庭（家乡）负责、对他人负责、对社会负责”的八大综合社会实践活动课程。此外，实施多年的《中德文化交流》课程拓宽了学生的国际视野。</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56"/>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256" w:type="dxa"/>
            <w:shd w:val="clear" w:color="auto" w:fill="BDD6EE" w:themeFill="accent5" w:themeFillTint="66"/>
            <w:vAlign w:val="center"/>
          </w:tcPr>
          <w:p>
            <w:pPr>
              <w:jc w:val="center"/>
              <w:rPr>
                <w:b/>
                <w:bCs/>
                <w:szCs w:val="21"/>
              </w:rPr>
            </w:pPr>
            <w:r>
              <w:rPr>
                <w:rFonts w:hint="eastAsia"/>
                <w:b/>
                <w:bCs/>
                <w:szCs w:val="21"/>
                <w:lang w:eastAsia="zh-CN"/>
              </w:rPr>
              <w:t>社会实践</w:t>
            </w:r>
            <w:r>
              <w:rPr>
                <w:rFonts w:hint="eastAsia"/>
                <w:b/>
                <w:bCs/>
                <w:szCs w:val="21"/>
              </w:rPr>
              <w:t>课程</w:t>
            </w:r>
          </w:p>
        </w:tc>
        <w:tc>
          <w:tcPr>
            <w:tcW w:w="2914" w:type="dxa"/>
            <w:shd w:val="clear" w:color="auto" w:fill="BDD6EE" w:themeFill="accent5" w:themeFillTint="66"/>
            <w:vAlign w:val="center"/>
          </w:tcPr>
          <w:p>
            <w:pPr>
              <w:jc w:val="center"/>
              <w:rPr>
                <w:b/>
                <w:bCs/>
                <w:szCs w:val="21"/>
              </w:rPr>
            </w:pPr>
            <w:r>
              <w:rPr>
                <w:rFonts w:hint="eastAsia"/>
                <w:b/>
                <w:bCs/>
                <w:szCs w:val="21"/>
                <w:lang w:eastAsia="zh-CN"/>
              </w:rPr>
              <w:t>实施</w:t>
            </w:r>
            <w:r>
              <w:rPr>
                <w:rFonts w:hint="eastAsia"/>
                <w:b/>
                <w:bCs/>
                <w:szCs w:val="21"/>
              </w:rPr>
              <w:t>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5256" w:type="dxa"/>
            <w:vAlign w:val="center"/>
          </w:tcPr>
          <w:p>
            <w:pPr>
              <w:jc w:val="center"/>
              <w:rPr>
                <w:b/>
                <w:bCs/>
                <w:szCs w:val="21"/>
              </w:rPr>
            </w:pPr>
            <w:r>
              <w:rPr>
                <w:b/>
                <w:bCs/>
                <w:szCs w:val="21"/>
              </w:rPr>
              <w:t>《</w:t>
            </w:r>
            <w:r>
              <w:rPr>
                <w:rFonts w:hint="eastAsia"/>
                <w:b/>
                <w:bCs/>
                <w:szCs w:val="21"/>
              </w:rPr>
              <w:t>走进学校，了解自我</w:t>
            </w:r>
            <w:r>
              <w:rPr>
                <w:b/>
                <w:bCs/>
                <w:szCs w:val="21"/>
              </w:rPr>
              <w:t>》</w:t>
            </w:r>
          </w:p>
        </w:tc>
        <w:tc>
          <w:tcPr>
            <w:tcW w:w="2914" w:type="dxa"/>
            <w:vMerge w:val="restart"/>
            <w:vAlign w:val="center"/>
          </w:tcPr>
          <w:p>
            <w:pPr>
              <w:jc w:val="center"/>
              <w:rPr>
                <w:b/>
                <w:bCs/>
                <w:szCs w:val="21"/>
              </w:rPr>
            </w:pPr>
            <w:r>
              <w:rPr>
                <w:rFonts w:hint="eastAsia"/>
                <w:b/>
                <w:bCs/>
                <w:szCs w:val="21"/>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5256" w:type="dxa"/>
            <w:vAlign w:val="center"/>
          </w:tcPr>
          <w:p>
            <w:pPr>
              <w:jc w:val="center"/>
              <w:rPr>
                <w:b/>
                <w:bCs/>
                <w:szCs w:val="21"/>
              </w:rPr>
            </w:pPr>
            <w:r>
              <w:rPr>
                <w:rFonts w:hint="eastAsia"/>
                <w:b/>
                <w:bCs/>
                <w:szCs w:val="21"/>
              </w:rPr>
              <w:t>《走进春天，认识自我》</w:t>
            </w:r>
          </w:p>
        </w:tc>
        <w:tc>
          <w:tcPr>
            <w:tcW w:w="2914" w:type="dxa"/>
            <w:vMerge w:val="continue"/>
            <w:vAlign w:val="center"/>
          </w:tcPr>
          <w:p>
            <w:pPr>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256" w:type="dxa"/>
            <w:vAlign w:val="center"/>
          </w:tcPr>
          <w:p>
            <w:pPr>
              <w:jc w:val="center"/>
              <w:rPr>
                <w:b/>
                <w:bCs/>
                <w:szCs w:val="21"/>
              </w:rPr>
            </w:pPr>
            <w:r>
              <w:rPr>
                <w:rFonts w:hint="eastAsia"/>
                <w:b/>
                <w:bCs/>
                <w:szCs w:val="21"/>
              </w:rPr>
              <w:t>《走进家庭，对家庭负责》</w:t>
            </w:r>
          </w:p>
        </w:tc>
        <w:tc>
          <w:tcPr>
            <w:tcW w:w="2914" w:type="dxa"/>
            <w:vMerge w:val="restart"/>
            <w:vAlign w:val="center"/>
          </w:tcPr>
          <w:p>
            <w:pPr>
              <w:jc w:val="center"/>
              <w:rPr>
                <w:b/>
                <w:bCs/>
                <w:szCs w:val="21"/>
              </w:rPr>
            </w:pPr>
            <w:r>
              <w:rPr>
                <w:rFonts w:hint="eastAsia"/>
                <w:b/>
                <w:bCs/>
                <w:szCs w:val="21"/>
              </w:rPr>
              <w:t>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256" w:type="dxa"/>
            <w:vAlign w:val="center"/>
          </w:tcPr>
          <w:p>
            <w:pPr>
              <w:jc w:val="center"/>
              <w:rPr>
                <w:b/>
                <w:bCs/>
                <w:szCs w:val="21"/>
              </w:rPr>
            </w:pPr>
            <w:r>
              <w:rPr>
                <w:b/>
                <w:bCs/>
                <w:szCs w:val="21"/>
              </w:rPr>
              <w:t>《</w:t>
            </w:r>
            <w:r>
              <w:rPr>
                <w:rFonts w:hint="eastAsia"/>
                <w:b/>
                <w:bCs/>
                <w:szCs w:val="21"/>
              </w:rPr>
              <w:t>走进虬江河——对家乡负责</w:t>
            </w:r>
            <w:r>
              <w:rPr>
                <w:b/>
                <w:bCs/>
                <w:szCs w:val="21"/>
              </w:rPr>
              <w:t>》</w:t>
            </w:r>
          </w:p>
        </w:tc>
        <w:tc>
          <w:tcPr>
            <w:tcW w:w="2914" w:type="dxa"/>
            <w:vMerge w:val="continue"/>
            <w:vAlign w:val="center"/>
          </w:tcPr>
          <w:p>
            <w:pPr>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5256" w:type="dxa"/>
            <w:vAlign w:val="center"/>
          </w:tcPr>
          <w:p>
            <w:pPr>
              <w:jc w:val="center"/>
              <w:rPr>
                <w:b/>
                <w:bCs/>
                <w:szCs w:val="21"/>
              </w:rPr>
            </w:pPr>
            <w:r>
              <w:rPr>
                <w:rFonts w:hint="eastAsia"/>
                <w:b/>
                <w:bCs/>
                <w:szCs w:val="21"/>
              </w:rPr>
              <w:t>《走进社区，对他人负责》</w:t>
            </w:r>
          </w:p>
        </w:tc>
        <w:tc>
          <w:tcPr>
            <w:tcW w:w="2914" w:type="dxa"/>
            <w:vMerge w:val="restart"/>
            <w:vAlign w:val="center"/>
          </w:tcPr>
          <w:p>
            <w:pPr>
              <w:jc w:val="center"/>
              <w:rPr>
                <w:b/>
                <w:bCs/>
                <w:szCs w:val="21"/>
              </w:rPr>
            </w:pPr>
            <w:r>
              <w:rPr>
                <w:rFonts w:hint="eastAsia"/>
                <w:b/>
                <w:bCs/>
                <w:szCs w:val="21"/>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5256" w:type="dxa"/>
            <w:vAlign w:val="center"/>
          </w:tcPr>
          <w:p>
            <w:pPr>
              <w:jc w:val="center"/>
              <w:rPr>
                <w:b/>
                <w:bCs/>
                <w:szCs w:val="21"/>
              </w:rPr>
            </w:pPr>
            <w:r>
              <w:rPr>
                <w:b/>
                <w:bCs/>
                <w:szCs w:val="21"/>
              </w:rPr>
              <w:t>《</w:t>
            </w:r>
            <w:r>
              <w:rPr>
                <w:rFonts w:hint="eastAsia"/>
                <w:b/>
                <w:bCs/>
                <w:szCs w:val="21"/>
              </w:rPr>
              <w:t>走进青春，对他人负责——十四岁生日</w:t>
            </w:r>
            <w:r>
              <w:rPr>
                <w:b/>
                <w:bCs/>
                <w:szCs w:val="21"/>
              </w:rPr>
              <w:t>》</w:t>
            </w:r>
          </w:p>
        </w:tc>
        <w:tc>
          <w:tcPr>
            <w:tcW w:w="2914" w:type="dxa"/>
            <w:vMerge w:val="continue"/>
            <w:vAlign w:val="center"/>
          </w:tcPr>
          <w:p>
            <w:pPr>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5256" w:type="dxa"/>
            <w:vAlign w:val="center"/>
          </w:tcPr>
          <w:p>
            <w:pPr>
              <w:jc w:val="center"/>
              <w:rPr>
                <w:b/>
                <w:bCs/>
                <w:szCs w:val="21"/>
              </w:rPr>
            </w:pPr>
            <w:r>
              <w:rPr>
                <w:rFonts w:hint="eastAsia"/>
                <w:b/>
                <w:bCs/>
                <w:szCs w:val="21"/>
              </w:rPr>
              <w:t>《走进社会，立志尽责》</w:t>
            </w:r>
          </w:p>
        </w:tc>
        <w:tc>
          <w:tcPr>
            <w:tcW w:w="2914" w:type="dxa"/>
            <w:vMerge w:val="restart"/>
            <w:vAlign w:val="center"/>
          </w:tcPr>
          <w:p>
            <w:pPr>
              <w:jc w:val="center"/>
              <w:rPr>
                <w:b/>
                <w:bCs/>
                <w:szCs w:val="21"/>
              </w:rPr>
            </w:pPr>
            <w:r>
              <w:rPr>
                <w:rFonts w:hint="eastAsia"/>
                <w:b/>
                <w:bCs/>
                <w:szCs w:val="21"/>
              </w:rPr>
              <w:t>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256" w:type="dxa"/>
            <w:vAlign w:val="center"/>
          </w:tcPr>
          <w:p>
            <w:pPr>
              <w:jc w:val="center"/>
              <w:rPr>
                <w:b/>
                <w:bCs/>
                <w:szCs w:val="21"/>
              </w:rPr>
            </w:pPr>
            <w:r>
              <w:rPr>
                <w:b/>
                <w:bCs/>
                <w:szCs w:val="21"/>
              </w:rPr>
              <w:t>《</w:t>
            </w:r>
            <w:r>
              <w:rPr>
                <w:rFonts w:hint="eastAsia"/>
                <w:b/>
                <w:bCs/>
                <w:szCs w:val="21"/>
              </w:rPr>
              <w:t>走进鲁迅，青春励志</w:t>
            </w:r>
            <w:r>
              <w:rPr>
                <w:b/>
                <w:bCs/>
                <w:szCs w:val="21"/>
              </w:rPr>
              <w:t>》</w:t>
            </w:r>
          </w:p>
        </w:tc>
        <w:tc>
          <w:tcPr>
            <w:tcW w:w="2914" w:type="dxa"/>
            <w:vMerge w:val="continue"/>
            <w:vAlign w:val="center"/>
          </w:tcPr>
          <w:p>
            <w:pPr>
              <w:jc w:val="center"/>
              <w:rPr>
                <w:b/>
                <w:bCs/>
                <w:szCs w:val="21"/>
              </w:rPr>
            </w:pPr>
          </w:p>
        </w:tc>
      </w:tr>
    </w:tbl>
    <w:p>
      <w:pPr>
        <w:spacing w:line="360" w:lineRule="auto"/>
        <w:ind w:firstLine="2521" w:firstLineChars="1200"/>
        <w:rPr>
          <w:rFonts w:hint="eastAsia"/>
          <w:b/>
          <w:bCs/>
        </w:rPr>
      </w:pPr>
      <w:r>
        <w:rPr>
          <w:rFonts w:hint="eastAsia"/>
          <w:b/>
          <w:bCs/>
          <w:lang w:val="en-US" w:eastAsia="zh-CN"/>
        </w:rPr>
        <w:t>表二：实践体验类磁性课程</w:t>
      </w:r>
    </w:p>
    <w:p>
      <w:pPr>
        <w:spacing w:line="360" w:lineRule="auto"/>
        <w:ind w:firstLine="420" w:firstLineChars="200"/>
        <w:rPr>
          <w:color w:val="4472C4" w:themeColor="accent1"/>
          <w14:textFill>
            <w14:solidFill>
              <w14:schemeClr w14:val="accent1"/>
            </w14:solidFill>
          </w14:textFill>
        </w:rPr>
      </w:pPr>
      <w:r>
        <w:rPr>
          <w:rFonts w:hint="eastAsia"/>
          <w:b/>
          <w:bCs/>
        </w:rPr>
        <w:t>专题聚焦类：</w:t>
      </w:r>
      <w:r>
        <w:rPr>
          <w:rFonts w:hint="eastAsia"/>
        </w:rPr>
        <w:t>开发实施了六到九年级道德品质、学习品质、生活品质和个性特长奠基课程。每类课程都有</w:t>
      </w:r>
      <w:r>
        <w:rPr>
          <w:rFonts w:hint="eastAsia"/>
          <w:b w:val="0"/>
          <w:bCs w:val="0"/>
        </w:rPr>
        <w:t>分年级目标侧重点</w:t>
      </w:r>
      <w:r>
        <w:rPr>
          <w:rFonts w:hint="eastAsia"/>
        </w:rPr>
        <w:t>，如道德品质奠基课程，六年级侧重“做友爱善良的好心人”、七年级侧重“做诚实守信的厚道人”、八年级侧重“做自豪正气的中国人”、九年级侧重“做敬业乐学的现代人”</w:t>
      </w:r>
      <w:r>
        <w:rPr>
          <w:rFonts w:hint="eastAsia"/>
          <w:lang w:eastAsia="zh-CN"/>
        </w:rPr>
        <w:t>。</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3260"/>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122" w:type="dxa"/>
            <w:shd w:val="clear" w:color="auto" w:fill="BDD6EE" w:themeFill="accent5" w:themeFillTint="66"/>
            <w:vAlign w:val="center"/>
          </w:tcPr>
          <w:p>
            <w:pPr>
              <w:jc w:val="center"/>
              <w:rPr>
                <w:b/>
                <w:bCs/>
                <w:szCs w:val="21"/>
              </w:rPr>
            </w:pPr>
            <w:r>
              <w:rPr>
                <w:rFonts w:hint="eastAsia"/>
                <w:b/>
                <w:bCs/>
                <w:szCs w:val="21"/>
              </w:rPr>
              <w:t>课程</w:t>
            </w:r>
          </w:p>
        </w:tc>
        <w:tc>
          <w:tcPr>
            <w:tcW w:w="3260" w:type="dxa"/>
            <w:shd w:val="clear" w:color="auto" w:fill="BDD6EE" w:themeFill="accent5" w:themeFillTint="66"/>
            <w:vAlign w:val="center"/>
          </w:tcPr>
          <w:p>
            <w:pPr>
              <w:jc w:val="center"/>
              <w:rPr>
                <w:rFonts w:hint="eastAsia" w:eastAsiaTheme="minorEastAsia"/>
                <w:b/>
                <w:bCs/>
                <w:szCs w:val="21"/>
                <w:lang w:eastAsia="zh-CN"/>
              </w:rPr>
            </w:pPr>
            <w:r>
              <w:rPr>
                <w:rFonts w:hint="eastAsia"/>
                <w:b/>
                <w:bCs/>
                <w:szCs w:val="21"/>
                <w:lang w:eastAsia="zh-CN"/>
              </w:rPr>
              <w:t>目标</w:t>
            </w:r>
          </w:p>
        </w:tc>
        <w:tc>
          <w:tcPr>
            <w:tcW w:w="2914" w:type="dxa"/>
            <w:shd w:val="clear" w:color="auto" w:fill="BDD6EE" w:themeFill="accent5" w:themeFillTint="66"/>
            <w:vAlign w:val="center"/>
          </w:tcPr>
          <w:p>
            <w:pPr>
              <w:jc w:val="center"/>
              <w:rPr>
                <w:b/>
                <w:bCs/>
                <w:szCs w:val="21"/>
              </w:rPr>
            </w:pPr>
            <w:r>
              <w:rPr>
                <w:rFonts w:hint="eastAsia"/>
                <w:b/>
                <w:bCs/>
                <w:szCs w:val="21"/>
                <w:lang w:eastAsia="zh-CN"/>
              </w:rPr>
              <w:t>实施</w:t>
            </w:r>
            <w:r>
              <w:rPr>
                <w:rFonts w:hint="eastAsia"/>
                <w:b/>
                <w:bCs/>
                <w:szCs w:val="21"/>
              </w:rPr>
              <w:t>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122" w:type="dxa"/>
            <w:vMerge w:val="restart"/>
            <w:vAlign w:val="center"/>
          </w:tcPr>
          <w:p>
            <w:pPr>
              <w:jc w:val="center"/>
              <w:rPr>
                <w:b/>
                <w:bCs/>
                <w:szCs w:val="21"/>
              </w:rPr>
            </w:pPr>
            <w:r>
              <w:rPr>
                <w:rFonts w:hint="eastAsia"/>
                <w:b/>
                <w:bCs/>
                <w:szCs w:val="21"/>
              </w:rPr>
              <w:t>道德品质</w:t>
            </w:r>
            <w:r>
              <w:rPr>
                <w:rFonts w:hint="eastAsia"/>
                <w:b/>
                <w:bCs/>
                <w:szCs w:val="21"/>
                <w:lang w:eastAsia="zh-CN"/>
              </w:rPr>
              <w:t>奠基</w:t>
            </w:r>
            <w:r>
              <w:rPr>
                <w:rFonts w:hint="eastAsia"/>
                <w:b/>
                <w:bCs/>
                <w:szCs w:val="21"/>
              </w:rPr>
              <w:t>课程</w:t>
            </w:r>
          </w:p>
        </w:tc>
        <w:tc>
          <w:tcPr>
            <w:tcW w:w="3260" w:type="dxa"/>
            <w:vAlign w:val="center"/>
          </w:tcPr>
          <w:p>
            <w:pPr>
              <w:jc w:val="center"/>
              <w:rPr>
                <w:b/>
                <w:bCs/>
                <w:szCs w:val="21"/>
              </w:rPr>
            </w:pPr>
            <w:r>
              <w:rPr>
                <w:rFonts w:hint="eastAsia"/>
                <w:b/>
                <w:bCs/>
                <w:szCs w:val="21"/>
              </w:rPr>
              <w:t>做</w:t>
            </w:r>
            <w:r>
              <w:rPr>
                <w:rFonts w:hint="eastAsia"/>
                <w:b/>
                <w:bCs/>
                <w:szCs w:val="21"/>
                <w:lang w:eastAsia="zh-CN"/>
              </w:rPr>
              <w:t>友</w:t>
            </w:r>
            <w:r>
              <w:rPr>
                <w:rFonts w:hint="eastAsia"/>
                <w:b/>
                <w:bCs/>
                <w:szCs w:val="21"/>
              </w:rPr>
              <w:t>爱善良的好心人</w:t>
            </w:r>
          </w:p>
        </w:tc>
        <w:tc>
          <w:tcPr>
            <w:tcW w:w="2914" w:type="dxa"/>
            <w:vAlign w:val="center"/>
          </w:tcPr>
          <w:p>
            <w:pPr>
              <w:jc w:val="center"/>
              <w:rPr>
                <w:b/>
                <w:bCs/>
                <w:szCs w:val="21"/>
              </w:rPr>
            </w:pPr>
            <w:r>
              <w:rPr>
                <w:rFonts w:hint="eastAsia"/>
                <w:b/>
                <w:bCs/>
                <w:szCs w:val="21"/>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122" w:type="dxa"/>
            <w:vMerge w:val="continue"/>
            <w:vAlign w:val="center"/>
          </w:tcPr>
          <w:p>
            <w:pPr>
              <w:jc w:val="center"/>
              <w:rPr>
                <w:b/>
                <w:bCs/>
                <w:szCs w:val="21"/>
              </w:rPr>
            </w:pPr>
          </w:p>
        </w:tc>
        <w:tc>
          <w:tcPr>
            <w:tcW w:w="3260" w:type="dxa"/>
            <w:vAlign w:val="center"/>
          </w:tcPr>
          <w:p>
            <w:pPr>
              <w:jc w:val="center"/>
              <w:rPr>
                <w:b/>
                <w:bCs/>
                <w:szCs w:val="21"/>
              </w:rPr>
            </w:pPr>
            <w:r>
              <w:rPr>
                <w:rFonts w:hint="eastAsia"/>
                <w:b/>
                <w:bCs/>
                <w:szCs w:val="21"/>
              </w:rPr>
              <w:t>做诚实守信的厚道人</w:t>
            </w:r>
          </w:p>
        </w:tc>
        <w:tc>
          <w:tcPr>
            <w:tcW w:w="2914" w:type="dxa"/>
            <w:vAlign w:val="center"/>
          </w:tcPr>
          <w:p>
            <w:pPr>
              <w:jc w:val="center"/>
              <w:rPr>
                <w:b/>
                <w:bCs/>
                <w:szCs w:val="21"/>
              </w:rPr>
            </w:pPr>
            <w:r>
              <w:rPr>
                <w:rFonts w:hint="eastAsia"/>
                <w:b/>
                <w:bCs/>
                <w:szCs w:val="21"/>
              </w:rPr>
              <w:t>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122" w:type="dxa"/>
            <w:vMerge w:val="continue"/>
            <w:vAlign w:val="center"/>
          </w:tcPr>
          <w:p>
            <w:pPr>
              <w:jc w:val="center"/>
              <w:rPr>
                <w:b/>
                <w:bCs/>
                <w:szCs w:val="21"/>
              </w:rPr>
            </w:pPr>
          </w:p>
        </w:tc>
        <w:tc>
          <w:tcPr>
            <w:tcW w:w="3260" w:type="dxa"/>
            <w:vAlign w:val="center"/>
          </w:tcPr>
          <w:p>
            <w:pPr>
              <w:jc w:val="center"/>
              <w:rPr>
                <w:b/>
                <w:bCs/>
                <w:szCs w:val="21"/>
              </w:rPr>
            </w:pPr>
            <w:r>
              <w:rPr>
                <w:rFonts w:hint="eastAsia"/>
                <w:b/>
                <w:bCs/>
                <w:szCs w:val="21"/>
              </w:rPr>
              <w:t>做自豪正气的中国人</w:t>
            </w:r>
          </w:p>
        </w:tc>
        <w:tc>
          <w:tcPr>
            <w:tcW w:w="2914" w:type="dxa"/>
            <w:vAlign w:val="center"/>
          </w:tcPr>
          <w:p>
            <w:pPr>
              <w:jc w:val="center"/>
              <w:rPr>
                <w:b/>
                <w:bCs/>
                <w:szCs w:val="21"/>
              </w:rPr>
            </w:pPr>
            <w:r>
              <w:rPr>
                <w:rFonts w:hint="eastAsia"/>
                <w:b/>
                <w:bCs/>
                <w:szCs w:val="21"/>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122" w:type="dxa"/>
            <w:vMerge w:val="continue"/>
            <w:vAlign w:val="center"/>
          </w:tcPr>
          <w:p>
            <w:pPr>
              <w:jc w:val="center"/>
              <w:rPr>
                <w:b/>
                <w:bCs/>
                <w:szCs w:val="21"/>
              </w:rPr>
            </w:pPr>
          </w:p>
        </w:tc>
        <w:tc>
          <w:tcPr>
            <w:tcW w:w="3260" w:type="dxa"/>
            <w:vAlign w:val="center"/>
          </w:tcPr>
          <w:p>
            <w:pPr>
              <w:jc w:val="center"/>
              <w:rPr>
                <w:b/>
                <w:bCs/>
                <w:szCs w:val="21"/>
              </w:rPr>
            </w:pPr>
            <w:r>
              <w:rPr>
                <w:rFonts w:hint="eastAsia"/>
                <w:b/>
                <w:bCs/>
                <w:szCs w:val="21"/>
              </w:rPr>
              <w:t>做敬业乐学的现代人</w:t>
            </w:r>
          </w:p>
        </w:tc>
        <w:tc>
          <w:tcPr>
            <w:tcW w:w="2914" w:type="dxa"/>
            <w:vAlign w:val="center"/>
          </w:tcPr>
          <w:p>
            <w:pPr>
              <w:jc w:val="center"/>
              <w:rPr>
                <w:b/>
                <w:bCs/>
                <w:szCs w:val="21"/>
              </w:rPr>
            </w:pPr>
            <w:r>
              <w:rPr>
                <w:rFonts w:hint="eastAsia"/>
                <w:b/>
                <w:bCs/>
                <w:szCs w:val="21"/>
              </w:rPr>
              <w:t>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122" w:type="dxa"/>
            <w:vMerge w:val="restart"/>
            <w:vAlign w:val="center"/>
          </w:tcPr>
          <w:p>
            <w:pPr>
              <w:jc w:val="center"/>
              <w:rPr>
                <w:b/>
                <w:bCs/>
                <w:szCs w:val="21"/>
              </w:rPr>
            </w:pPr>
            <w:r>
              <w:rPr>
                <w:rFonts w:hint="eastAsia"/>
                <w:b/>
                <w:bCs/>
                <w:szCs w:val="21"/>
              </w:rPr>
              <w:t>学习品质</w:t>
            </w:r>
            <w:r>
              <w:rPr>
                <w:rFonts w:hint="eastAsia"/>
                <w:b/>
                <w:bCs/>
                <w:szCs w:val="21"/>
                <w:lang w:eastAsia="zh-CN"/>
              </w:rPr>
              <w:t>奠基</w:t>
            </w:r>
            <w:r>
              <w:rPr>
                <w:rFonts w:hint="eastAsia"/>
                <w:b/>
                <w:bCs/>
                <w:szCs w:val="21"/>
              </w:rPr>
              <w:t>课程</w:t>
            </w:r>
          </w:p>
        </w:tc>
        <w:tc>
          <w:tcPr>
            <w:tcW w:w="3260" w:type="dxa"/>
            <w:vAlign w:val="center"/>
          </w:tcPr>
          <w:p>
            <w:pPr>
              <w:jc w:val="center"/>
              <w:rPr>
                <w:b/>
                <w:bCs/>
                <w:szCs w:val="21"/>
              </w:rPr>
            </w:pPr>
            <w:r>
              <w:rPr>
                <w:rFonts w:hint="eastAsia"/>
                <w:b/>
                <w:bCs/>
                <w:szCs w:val="21"/>
                <w:lang w:eastAsia="zh-CN"/>
              </w:rPr>
              <w:t>养成</w:t>
            </w:r>
            <w:r>
              <w:rPr>
                <w:rFonts w:hint="eastAsia"/>
                <w:b/>
                <w:bCs/>
                <w:szCs w:val="21"/>
              </w:rPr>
              <w:t>学习习惯</w:t>
            </w:r>
          </w:p>
        </w:tc>
        <w:tc>
          <w:tcPr>
            <w:tcW w:w="2914" w:type="dxa"/>
            <w:vAlign w:val="center"/>
          </w:tcPr>
          <w:p>
            <w:pPr>
              <w:jc w:val="center"/>
              <w:rPr>
                <w:b/>
                <w:bCs/>
                <w:szCs w:val="21"/>
              </w:rPr>
            </w:pPr>
            <w:r>
              <w:rPr>
                <w:rFonts w:hint="eastAsia"/>
                <w:b/>
                <w:bCs/>
                <w:szCs w:val="21"/>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122" w:type="dxa"/>
            <w:vMerge w:val="continue"/>
            <w:vAlign w:val="center"/>
          </w:tcPr>
          <w:p>
            <w:pPr>
              <w:jc w:val="center"/>
              <w:rPr>
                <w:b/>
                <w:bCs/>
                <w:szCs w:val="21"/>
              </w:rPr>
            </w:pPr>
          </w:p>
        </w:tc>
        <w:tc>
          <w:tcPr>
            <w:tcW w:w="3260" w:type="dxa"/>
            <w:vAlign w:val="center"/>
          </w:tcPr>
          <w:p>
            <w:pPr>
              <w:jc w:val="center"/>
              <w:rPr>
                <w:b/>
                <w:bCs/>
                <w:szCs w:val="21"/>
              </w:rPr>
            </w:pPr>
            <w:r>
              <w:rPr>
                <w:rFonts w:hint="eastAsia"/>
                <w:b/>
                <w:bCs/>
                <w:szCs w:val="21"/>
                <w:lang w:eastAsia="zh-CN"/>
              </w:rPr>
              <w:t>掌握</w:t>
            </w:r>
            <w:r>
              <w:rPr>
                <w:rFonts w:hint="eastAsia"/>
                <w:b/>
                <w:bCs/>
                <w:szCs w:val="21"/>
              </w:rPr>
              <w:t>学习方法</w:t>
            </w:r>
          </w:p>
        </w:tc>
        <w:tc>
          <w:tcPr>
            <w:tcW w:w="2914" w:type="dxa"/>
            <w:vAlign w:val="center"/>
          </w:tcPr>
          <w:p>
            <w:pPr>
              <w:jc w:val="center"/>
              <w:rPr>
                <w:b/>
                <w:bCs/>
                <w:szCs w:val="21"/>
              </w:rPr>
            </w:pPr>
            <w:r>
              <w:rPr>
                <w:rFonts w:hint="eastAsia"/>
                <w:b/>
                <w:bCs/>
                <w:szCs w:val="21"/>
              </w:rPr>
              <w:t>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122" w:type="dxa"/>
            <w:vMerge w:val="continue"/>
            <w:vAlign w:val="center"/>
          </w:tcPr>
          <w:p>
            <w:pPr>
              <w:jc w:val="center"/>
              <w:rPr>
                <w:b/>
                <w:bCs/>
                <w:szCs w:val="21"/>
              </w:rPr>
            </w:pPr>
          </w:p>
        </w:tc>
        <w:tc>
          <w:tcPr>
            <w:tcW w:w="3260" w:type="dxa"/>
            <w:vAlign w:val="center"/>
          </w:tcPr>
          <w:p>
            <w:pPr>
              <w:jc w:val="center"/>
              <w:rPr>
                <w:b/>
                <w:bCs/>
                <w:szCs w:val="21"/>
              </w:rPr>
            </w:pPr>
            <w:r>
              <w:rPr>
                <w:rFonts w:hint="eastAsia"/>
                <w:b/>
                <w:bCs/>
                <w:szCs w:val="21"/>
                <w:lang w:eastAsia="zh-CN"/>
              </w:rPr>
              <w:t>提升</w:t>
            </w:r>
            <w:r>
              <w:rPr>
                <w:rFonts w:hint="eastAsia"/>
                <w:b/>
                <w:bCs/>
                <w:szCs w:val="21"/>
              </w:rPr>
              <w:t>学习能力</w:t>
            </w:r>
          </w:p>
        </w:tc>
        <w:tc>
          <w:tcPr>
            <w:tcW w:w="2914" w:type="dxa"/>
            <w:vAlign w:val="center"/>
          </w:tcPr>
          <w:p>
            <w:pPr>
              <w:jc w:val="center"/>
              <w:rPr>
                <w:b/>
                <w:bCs/>
                <w:szCs w:val="21"/>
              </w:rPr>
            </w:pPr>
            <w:r>
              <w:rPr>
                <w:rFonts w:hint="eastAsia"/>
                <w:b/>
                <w:bCs/>
                <w:szCs w:val="21"/>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122" w:type="dxa"/>
            <w:vMerge w:val="continue"/>
            <w:vAlign w:val="center"/>
          </w:tcPr>
          <w:p>
            <w:pPr>
              <w:jc w:val="center"/>
              <w:rPr>
                <w:b/>
                <w:bCs/>
                <w:szCs w:val="21"/>
              </w:rPr>
            </w:pPr>
          </w:p>
        </w:tc>
        <w:tc>
          <w:tcPr>
            <w:tcW w:w="3260" w:type="dxa"/>
            <w:vAlign w:val="center"/>
          </w:tcPr>
          <w:p>
            <w:pPr>
              <w:jc w:val="center"/>
              <w:rPr>
                <w:b/>
                <w:bCs/>
                <w:szCs w:val="21"/>
              </w:rPr>
            </w:pPr>
            <w:r>
              <w:rPr>
                <w:rFonts w:hint="eastAsia"/>
                <w:b/>
                <w:bCs/>
                <w:szCs w:val="21"/>
                <w:lang w:eastAsia="zh-CN"/>
              </w:rPr>
              <w:t>激发</w:t>
            </w:r>
            <w:r>
              <w:rPr>
                <w:rFonts w:hint="eastAsia"/>
                <w:b/>
                <w:bCs/>
                <w:szCs w:val="21"/>
              </w:rPr>
              <w:t>学习动力</w:t>
            </w:r>
          </w:p>
        </w:tc>
        <w:tc>
          <w:tcPr>
            <w:tcW w:w="2914" w:type="dxa"/>
            <w:vAlign w:val="center"/>
          </w:tcPr>
          <w:p>
            <w:pPr>
              <w:jc w:val="center"/>
              <w:rPr>
                <w:b/>
                <w:bCs/>
                <w:szCs w:val="21"/>
              </w:rPr>
            </w:pPr>
            <w:r>
              <w:rPr>
                <w:rFonts w:hint="eastAsia"/>
                <w:b/>
                <w:bCs/>
                <w:szCs w:val="21"/>
              </w:rPr>
              <w:t>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122" w:type="dxa"/>
            <w:vMerge w:val="restart"/>
            <w:vAlign w:val="center"/>
          </w:tcPr>
          <w:p>
            <w:pPr>
              <w:jc w:val="center"/>
              <w:rPr>
                <w:b/>
                <w:bCs/>
                <w:szCs w:val="21"/>
              </w:rPr>
            </w:pPr>
            <w:r>
              <w:rPr>
                <w:rFonts w:hint="eastAsia"/>
                <w:b/>
                <w:bCs/>
                <w:szCs w:val="21"/>
              </w:rPr>
              <w:t>生活品质</w:t>
            </w:r>
            <w:r>
              <w:rPr>
                <w:rFonts w:hint="eastAsia"/>
                <w:b/>
                <w:bCs/>
                <w:szCs w:val="21"/>
                <w:lang w:eastAsia="zh-CN"/>
              </w:rPr>
              <w:t>奠基</w:t>
            </w:r>
            <w:r>
              <w:rPr>
                <w:rFonts w:hint="eastAsia"/>
                <w:b/>
                <w:bCs/>
                <w:szCs w:val="21"/>
              </w:rPr>
              <w:t>课程</w:t>
            </w:r>
          </w:p>
        </w:tc>
        <w:tc>
          <w:tcPr>
            <w:tcW w:w="3260" w:type="dxa"/>
            <w:vAlign w:val="center"/>
          </w:tcPr>
          <w:p>
            <w:pPr>
              <w:jc w:val="center"/>
              <w:rPr>
                <w:b/>
                <w:bCs/>
                <w:szCs w:val="21"/>
              </w:rPr>
            </w:pPr>
            <w:r>
              <w:rPr>
                <w:rFonts w:hint="eastAsia"/>
                <w:b/>
                <w:bCs/>
                <w:szCs w:val="21"/>
              </w:rPr>
              <w:t>过安全的生活</w:t>
            </w:r>
          </w:p>
        </w:tc>
        <w:tc>
          <w:tcPr>
            <w:tcW w:w="2914" w:type="dxa"/>
            <w:vAlign w:val="center"/>
          </w:tcPr>
          <w:p>
            <w:pPr>
              <w:jc w:val="center"/>
              <w:rPr>
                <w:b/>
                <w:bCs/>
                <w:szCs w:val="21"/>
              </w:rPr>
            </w:pPr>
            <w:r>
              <w:rPr>
                <w:rFonts w:hint="eastAsia"/>
                <w:b/>
                <w:bCs/>
                <w:szCs w:val="21"/>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122" w:type="dxa"/>
            <w:vMerge w:val="continue"/>
            <w:vAlign w:val="center"/>
          </w:tcPr>
          <w:p>
            <w:pPr>
              <w:jc w:val="center"/>
              <w:rPr>
                <w:b/>
                <w:bCs/>
                <w:szCs w:val="21"/>
              </w:rPr>
            </w:pPr>
          </w:p>
        </w:tc>
        <w:tc>
          <w:tcPr>
            <w:tcW w:w="3260" w:type="dxa"/>
            <w:vAlign w:val="center"/>
          </w:tcPr>
          <w:p>
            <w:pPr>
              <w:jc w:val="center"/>
              <w:rPr>
                <w:b/>
                <w:bCs/>
                <w:szCs w:val="21"/>
              </w:rPr>
            </w:pPr>
            <w:r>
              <w:rPr>
                <w:rFonts w:hint="eastAsia"/>
                <w:b/>
                <w:bCs/>
                <w:szCs w:val="21"/>
              </w:rPr>
              <w:t>过健康的生活</w:t>
            </w:r>
          </w:p>
        </w:tc>
        <w:tc>
          <w:tcPr>
            <w:tcW w:w="2914" w:type="dxa"/>
            <w:vAlign w:val="center"/>
          </w:tcPr>
          <w:p>
            <w:pPr>
              <w:jc w:val="center"/>
              <w:rPr>
                <w:b/>
                <w:bCs/>
                <w:szCs w:val="21"/>
              </w:rPr>
            </w:pPr>
            <w:r>
              <w:rPr>
                <w:rFonts w:hint="eastAsia"/>
                <w:b/>
                <w:bCs/>
                <w:szCs w:val="21"/>
              </w:rPr>
              <w:t>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122" w:type="dxa"/>
            <w:vMerge w:val="continue"/>
            <w:vAlign w:val="center"/>
          </w:tcPr>
          <w:p>
            <w:pPr>
              <w:jc w:val="center"/>
              <w:rPr>
                <w:b/>
                <w:bCs/>
                <w:szCs w:val="21"/>
              </w:rPr>
            </w:pPr>
          </w:p>
        </w:tc>
        <w:tc>
          <w:tcPr>
            <w:tcW w:w="3260" w:type="dxa"/>
            <w:vAlign w:val="center"/>
          </w:tcPr>
          <w:p>
            <w:pPr>
              <w:jc w:val="center"/>
              <w:rPr>
                <w:b/>
                <w:bCs/>
                <w:szCs w:val="21"/>
              </w:rPr>
            </w:pPr>
            <w:r>
              <w:rPr>
                <w:rFonts w:hint="eastAsia"/>
                <w:b/>
                <w:bCs/>
                <w:szCs w:val="21"/>
              </w:rPr>
              <w:t>过有品位的生活</w:t>
            </w:r>
          </w:p>
        </w:tc>
        <w:tc>
          <w:tcPr>
            <w:tcW w:w="2914" w:type="dxa"/>
            <w:vAlign w:val="center"/>
          </w:tcPr>
          <w:p>
            <w:pPr>
              <w:jc w:val="center"/>
              <w:rPr>
                <w:b/>
                <w:bCs/>
                <w:szCs w:val="21"/>
              </w:rPr>
            </w:pPr>
            <w:r>
              <w:rPr>
                <w:rFonts w:hint="eastAsia"/>
                <w:b/>
                <w:bCs/>
                <w:szCs w:val="21"/>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122" w:type="dxa"/>
            <w:vMerge w:val="continue"/>
            <w:vAlign w:val="center"/>
          </w:tcPr>
          <w:p>
            <w:pPr>
              <w:jc w:val="center"/>
              <w:rPr>
                <w:b/>
                <w:bCs/>
                <w:szCs w:val="21"/>
              </w:rPr>
            </w:pPr>
          </w:p>
        </w:tc>
        <w:tc>
          <w:tcPr>
            <w:tcW w:w="3260" w:type="dxa"/>
            <w:vAlign w:val="center"/>
          </w:tcPr>
          <w:p>
            <w:pPr>
              <w:jc w:val="center"/>
              <w:rPr>
                <w:b/>
                <w:bCs/>
                <w:szCs w:val="21"/>
              </w:rPr>
            </w:pPr>
            <w:r>
              <w:rPr>
                <w:rFonts w:hint="eastAsia"/>
                <w:b/>
                <w:bCs/>
                <w:szCs w:val="21"/>
              </w:rPr>
              <w:t>过有追求的生活</w:t>
            </w:r>
          </w:p>
        </w:tc>
        <w:tc>
          <w:tcPr>
            <w:tcW w:w="2914" w:type="dxa"/>
            <w:vAlign w:val="center"/>
          </w:tcPr>
          <w:p>
            <w:pPr>
              <w:jc w:val="center"/>
              <w:rPr>
                <w:b/>
                <w:bCs/>
                <w:szCs w:val="21"/>
              </w:rPr>
            </w:pPr>
            <w:r>
              <w:rPr>
                <w:rFonts w:hint="eastAsia"/>
                <w:b/>
                <w:bCs/>
                <w:szCs w:val="21"/>
              </w:rPr>
              <w:t>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122" w:type="dxa"/>
            <w:vAlign w:val="center"/>
          </w:tcPr>
          <w:p>
            <w:pPr>
              <w:jc w:val="center"/>
              <w:rPr>
                <w:b/>
                <w:bCs/>
                <w:szCs w:val="21"/>
              </w:rPr>
            </w:pPr>
            <w:r>
              <w:rPr>
                <w:rFonts w:hint="eastAsia"/>
                <w:b/>
                <w:bCs/>
                <w:szCs w:val="21"/>
              </w:rPr>
              <w:t>个性特长</w:t>
            </w:r>
            <w:r>
              <w:rPr>
                <w:rFonts w:hint="eastAsia"/>
                <w:b/>
                <w:bCs/>
                <w:szCs w:val="21"/>
                <w:lang w:eastAsia="zh-CN"/>
              </w:rPr>
              <w:t>奠基</w:t>
            </w:r>
            <w:r>
              <w:rPr>
                <w:rFonts w:hint="eastAsia"/>
                <w:b/>
                <w:bCs/>
                <w:szCs w:val="21"/>
              </w:rPr>
              <w:t>课程</w:t>
            </w:r>
          </w:p>
        </w:tc>
        <w:tc>
          <w:tcPr>
            <w:tcW w:w="6174" w:type="dxa"/>
            <w:gridSpan w:val="2"/>
            <w:vAlign w:val="center"/>
          </w:tcPr>
          <w:p>
            <w:pPr>
              <w:jc w:val="center"/>
              <w:rPr>
                <w:b/>
                <w:bCs/>
                <w:szCs w:val="21"/>
              </w:rPr>
            </w:pPr>
            <w:r>
              <w:rPr>
                <w:rFonts w:hint="eastAsia"/>
                <w:b/>
                <w:bCs/>
                <w:szCs w:val="21"/>
              </w:rPr>
              <w:t>与学科拓展课程整合</w:t>
            </w:r>
          </w:p>
        </w:tc>
      </w:tr>
    </w:tbl>
    <w:p>
      <w:pPr>
        <w:spacing w:line="360" w:lineRule="auto"/>
        <w:ind w:firstLine="2521" w:firstLineChars="1200"/>
        <w:rPr>
          <w:rFonts w:hint="eastAsia"/>
          <w:b/>
        </w:rPr>
      </w:pPr>
      <w:r>
        <w:rPr>
          <w:rFonts w:hint="eastAsia"/>
          <w:b/>
          <w:bCs/>
          <w:lang w:val="en-US" w:eastAsia="zh-CN"/>
        </w:rPr>
        <w:t>表三：专题聚焦类磁性课程</w:t>
      </w:r>
    </w:p>
    <w:p>
      <w:pPr>
        <w:spacing w:line="360" w:lineRule="auto"/>
        <w:rPr>
          <w:b/>
        </w:rPr>
      </w:pPr>
      <w:r>
        <w:rPr>
          <w:rFonts w:hint="eastAsia"/>
          <w:b/>
        </w:rPr>
        <w:t>四、注重环境建设，整合运用课程资源</w:t>
      </w:r>
    </w:p>
    <w:p>
      <w:pPr>
        <w:spacing w:line="360" w:lineRule="auto"/>
        <w:rPr>
          <w:b/>
        </w:rPr>
      </w:pPr>
      <w:r>
        <w:rPr>
          <w:rFonts w:hint="eastAsia"/>
          <w:b/>
        </w:rPr>
        <w:t>1. 创建创新实验室</w:t>
      </w:r>
    </w:p>
    <w:p>
      <w:pPr>
        <w:spacing w:line="360" w:lineRule="auto"/>
        <w:ind w:firstLine="420" w:firstLineChars="200"/>
        <w:rPr>
          <w:rFonts w:ascii="宋体" w:hAnsi="宋体" w:eastAsia="宋体" w:cs="Arial Unicode MS"/>
          <w:kern w:val="0"/>
          <w:szCs w:val="21"/>
        </w:rPr>
      </w:pPr>
      <w:r>
        <w:rPr>
          <w:rFonts w:hint="eastAsia"/>
        </w:rPr>
        <w:t>依托2017年建成的“陶艺创意设计与制作”创新实验室，深化</w:t>
      </w:r>
      <w:r>
        <w:rPr>
          <w:rFonts w:hint="eastAsia" w:ascii="宋体" w:hAnsi="宋体"/>
          <w:szCs w:val="21"/>
        </w:rPr>
        <w:t>《陶艺》</w:t>
      </w:r>
      <w:r>
        <w:rPr>
          <w:rFonts w:hint="eastAsia"/>
        </w:rPr>
        <w:t>课程实施</w:t>
      </w:r>
      <w:r>
        <w:rPr>
          <w:rFonts w:hint="eastAsia"/>
          <w:lang w:eastAsia="zh-CN"/>
        </w:rPr>
        <w:t>。集劳动技能、艺术创作和文化熏陶三大方面的目标于一体，综合提升学生的</w:t>
      </w:r>
      <w:r>
        <w:rPr>
          <w:rFonts w:hint="eastAsia"/>
        </w:rPr>
        <w:t>技术、艺术和人文素养</w:t>
      </w:r>
      <w:r>
        <w:rPr>
          <w:rFonts w:hint="eastAsia"/>
          <w:lang w:eastAsia="zh-CN"/>
        </w:rPr>
        <w:t>，</w:t>
      </w:r>
      <w:r>
        <w:rPr>
          <w:rFonts w:hint="eastAsia"/>
        </w:rPr>
        <w:t>实现技术与艺术的融合、传统与现代的结合、课程与生活的整合</w:t>
      </w:r>
      <w:r>
        <w:rPr>
          <w:rFonts w:hint="eastAsia"/>
          <w:lang w:eastAsia="zh-CN"/>
        </w:rPr>
        <w:t>。该课程在</w:t>
      </w:r>
      <w:r>
        <w:rPr>
          <w:rFonts w:hint="eastAsia"/>
        </w:rPr>
        <w:t>2017年11月</w:t>
      </w:r>
      <w:r>
        <w:rPr>
          <w:rFonts w:hint="eastAsia" w:cs="宋体"/>
        </w:rPr>
        <w:t>参加了第二届全国品质课程研讨会</w:t>
      </w:r>
      <w:r>
        <w:rPr>
          <w:rFonts w:hint="eastAsia" w:cs="宋体"/>
          <w:lang w:eastAsia="zh-CN"/>
        </w:rPr>
        <w:t>“</w:t>
      </w:r>
      <w:r>
        <w:rPr>
          <w:rFonts w:hint="eastAsia" w:cs="宋体"/>
        </w:rPr>
        <w:t>民俗板块</w:t>
      </w:r>
      <w:r>
        <w:rPr>
          <w:rFonts w:hint="eastAsia" w:cs="宋体"/>
          <w:lang w:eastAsia="zh-CN"/>
        </w:rPr>
        <w:t>”</w:t>
      </w:r>
      <w:r>
        <w:rPr>
          <w:rFonts w:hint="eastAsia" w:cs="宋体"/>
        </w:rPr>
        <w:t>的现场展示，受到与会嘉宾的一致好评。</w:t>
      </w:r>
    </w:p>
    <w:p>
      <w:pPr>
        <w:numPr>
          <w:ilvl w:val="0"/>
          <w:numId w:val="2"/>
        </w:numPr>
        <w:spacing w:line="360" w:lineRule="auto"/>
        <w:rPr>
          <w:b/>
        </w:rPr>
      </w:pPr>
      <w:r>
        <w:rPr>
          <w:rFonts w:hint="eastAsia"/>
          <w:b/>
        </w:rPr>
        <w:t>开发选课平台</w:t>
      </w:r>
    </w:p>
    <w:p>
      <w:pPr>
        <w:spacing w:line="360" w:lineRule="auto"/>
        <w:ind w:firstLine="210" w:firstLineChars="100"/>
        <w:rPr>
          <w:bCs/>
        </w:rPr>
      </w:pPr>
      <w:r>
        <w:rPr>
          <w:rFonts w:hint="eastAsia"/>
          <w:b/>
        </w:rPr>
        <w:t xml:space="preserve">  </w:t>
      </w:r>
      <w:r>
        <w:rPr>
          <w:rFonts w:hint="eastAsia"/>
          <w:bCs/>
        </w:rPr>
        <w:t>自2016年起建立网上选课系统，优化选课流程，提升了学科拓展课程的管理效能，保证</w:t>
      </w:r>
      <w:r>
        <w:rPr>
          <w:rFonts w:hint="eastAsia"/>
          <w:bCs/>
          <w:lang w:eastAsia="zh-CN"/>
        </w:rPr>
        <w:t>了</w:t>
      </w:r>
      <w:r>
        <w:rPr>
          <w:rFonts w:hint="eastAsia"/>
          <w:bCs/>
        </w:rPr>
        <w:t>选课的公开、公平、便捷。选课前，教师将课程的简介、特色及要求发布于选课平台供学生了解。选课时，学生在规定时间内根据自己的兴趣爱好和学习需求，自主选择课程。课程学习结束后，学生及时评价反馈，学校根据学生的满意度情况不断优化课程设置。</w:t>
      </w:r>
    </w:p>
    <w:p>
      <w:pPr>
        <w:numPr>
          <w:ilvl w:val="0"/>
          <w:numId w:val="2"/>
        </w:numPr>
        <w:spacing w:line="360" w:lineRule="auto"/>
        <w:rPr>
          <w:b/>
        </w:rPr>
      </w:pPr>
      <w:r>
        <w:rPr>
          <w:rFonts w:hint="eastAsia"/>
          <w:b/>
        </w:rPr>
        <w:t>利用社会资源</w:t>
      </w:r>
    </w:p>
    <w:p>
      <w:pPr>
        <w:spacing w:line="360" w:lineRule="auto"/>
        <w:ind w:firstLine="420" w:firstLineChars="200"/>
        <w:rPr>
          <w:rFonts w:ascii="宋体" w:hAnsi="宋体" w:cs="Arial Unicode MS"/>
          <w:kern w:val="0"/>
          <w:szCs w:val="21"/>
        </w:rPr>
      </w:pPr>
      <w:r>
        <w:rPr>
          <w:rFonts w:hint="eastAsia" w:ascii="宋体" w:hAnsi="宋体" w:cs="Arial Unicode MS"/>
          <w:kern w:val="0"/>
          <w:szCs w:val="21"/>
        </w:rPr>
        <w:t>充分利用曹杨二中</w:t>
      </w:r>
      <w:r>
        <w:rPr>
          <w:rFonts w:hint="eastAsia" w:ascii="宋体" w:hAnsi="宋体" w:cs="Arial Unicode MS"/>
          <w:kern w:val="0"/>
          <w:szCs w:val="21"/>
          <w:lang w:eastAsia="zh-CN"/>
        </w:rPr>
        <w:t>（集团）</w:t>
      </w:r>
      <w:r>
        <w:rPr>
          <w:rFonts w:hint="eastAsia" w:ascii="宋体" w:hAnsi="宋体" w:cs="Arial Unicode MS"/>
          <w:kern w:val="0"/>
          <w:szCs w:val="21"/>
        </w:rPr>
        <w:t>的优质教育资源</w:t>
      </w:r>
      <w:r>
        <w:rPr>
          <w:rFonts w:hint="eastAsia" w:ascii="宋体" w:hAnsi="宋体" w:cs="Arial Unicode MS"/>
          <w:kern w:val="0"/>
          <w:szCs w:val="21"/>
          <w:lang w:eastAsia="zh-CN"/>
        </w:rPr>
        <w:t>、</w:t>
      </w:r>
      <w:r>
        <w:rPr>
          <w:rFonts w:hint="eastAsia" w:ascii="宋体" w:hAnsi="宋体" w:cs="Arial Unicode MS"/>
          <w:kern w:val="0"/>
          <w:szCs w:val="21"/>
        </w:rPr>
        <w:t>区域乡土资源</w:t>
      </w:r>
      <w:r>
        <w:rPr>
          <w:rFonts w:hint="eastAsia" w:ascii="宋体" w:hAnsi="宋体" w:cs="Arial Unicode MS"/>
          <w:kern w:val="0"/>
          <w:szCs w:val="21"/>
          <w:lang w:eastAsia="zh-CN"/>
        </w:rPr>
        <w:t>和</w:t>
      </w:r>
      <w:r>
        <w:rPr>
          <w:rFonts w:hint="eastAsia" w:ascii="宋体" w:hAnsi="宋体" w:cs="Arial Unicode MS"/>
          <w:kern w:val="0"/>
          <w:szCs w:val="21"/>
        </w:rPr>
        <w:t>其他社会资源，</w:t>
      </w:r>
      <w:r>
        <w:rPr>
          <w:rFonts w:hint="eastAsia" w:ascii="宋体" w:hAnsi="宋体" w:cs="Arial Unicode MS"/>
          <w:kern w:val="0"/>
          <w:szCs w:val="21"/>
          <w:lang w:eastAsia="zh-CN"/>
        </w:rPr>
        <w:t>开发</w:t>
      </w:r>
      <w:r>
        <w:rPr>
          <w:rFonts w:hint="eastAsia" w:ascii="宋体" w:hAnsi="宋体" w:cs="Arial Unicode MS"/>
          <w:kern w:val="0"/>
          <w:szCs w:val="21"/>
        </w:rPr>
        <w:t>特色课程</w:t>
      </w:r>
      <w:r>
        <w:rPr>
          <w:rFonts w:hint="eastAsia" w:ascii="宋体" w:hAnsi="宋体" w:cs="Arial Unicode MS"/>
          <w:kern w:val="0"/>
          <w:szCs w:val="21"/>
          <w:lang w:eastAsia="zh-CN"/>
        </w:rPr>
        <w:t>，</w:t>
      </w:r>
      <w:r>
        <w:rPr>
          <w:rFonts w:hint="eastAsia" w:ascii="宋体" w:hAnsi="宋体" w:cs="Arial Unicode MS"/>
          <w:kern w:val="0"/>
          <w:szCs w:val="21"/>
        </w:rPr>
        <w:t>提升课程品质。如《“慧雅学子”经典导读》、《“慧德学子”经典导学》就是借鉴了曹杨二中博雅教育和德语课程的成功经验，</w:t>
      </w:r>
      <w:r>
        <w:rPr>
          <w:rFonts w:hint="eastAsia" w:ascii="宋体" w:hAnsi="宋体" w:cs="宋体"/>
          <w:szCs w:val="21"/>
        </w:rPr>
        <w:t>借助了曹杨二中师资优势；</w:t>
      </w:r>
      <w:r>
        <w:t>《“快乐音乐”管乐团》</w:t>
      </w:r>
      <w:r>
        <w:rPr>
          <w:rFonts w:hint="eastAsia"/>
        </w:rPr>
        <w:t>是与上海悅趣音乐中心合作开发的；特别是</w:t>
      </w:r>
      <w:r>
        <w:rPr>
          <w:rFonts w:hint="eastAsia" w:ascii="宋体" w:hAnsi="宋体" w:cs="Arial Unicode MS"/>
          <w:kern w:val="0"/>
          <w:szCs w:val="21"/>
        </w:rPr>
        <w:t>在七年级学生中实施多年的</w:t>
      </w:r>
      <w:r>
        <w:rPr>
          <w:rFonts w:hint="eastAsia" w:cs="宋体"/>
          <w:bCs/>
        </w:rPr>
        <w:t>《走近虬江河》</w:t>
      </w:r>
      <w:r>
        <w:rPr>
          <w:rFonts w:hint="eastAsia" w:ascii="宋体" w:hAnsi="宋体" w:cs="Arial Unicode MS"/>
          <w:kern w:val="0"/>
          <w:szCs w:val="21"/>
        </w:rPr>
        <w:t>综合实践活动课程，就是充分</w:t>
      </w:r>
      <w:r>
        <w:rPr>
          <w:rFonts w:hint="eastAsia" w:ascii="宋体" w:hAnsi="宋体"/>
          <w:color w:val="000000"/>
          <w:szCs w:val="21"/>
        </w:rPr>
        <w:t>依托乡土资源而开发的。该</w:t>
      </w:r>
      <w:r>
        <w:rPr>
          <w:rFonts w:hint="eastAsia" w:ascii="宋体" w:hAnsi="宋体" w:cs="Arial Unicode MS"/>
          <w:kern w:val="0"/>
          <w:szCs w:val="21"/>
        </w:rPr>
        <w:t>课程的设计、组织与实施，借力于黄家花园管委会、秦古美术馆、新泽园花木市场等近10家社会组织、民间机构，为学生的实践、探究和感悟提供了很好的载体。</w:t>
      </w:r>
    </w:p>
    <w:p>
      <w:pPr>
        <w:widowControl/>
        <w:spacing w:line="360" w:lineRule="auto"/>
        <w:ind w:firstLine="315" w:firstLineChars="150"/>
        <w:rPr>
          <w:rFonts w:hint="eastAsia"/>
          <w:color w:val="auto"/>
          <w:lang w:eastAsia="zh-CN"/>
        </w:rPr>
      </w:pPr>
      <w:r>
        <w:rPr>
          <w:rFonts w:hint="eastAsia" w:cs="宋体"/>
        </w:rPr>
        <w:t>“磁性”课程建设取得了可喜的成绩</w:t>
      </w:r>
      <w:r>
        <w:rPr>
          <w:rFonts w:hint="eastAsia" w:cs="宋体"/>
          <w:lang w:eastAsia="zh-CN"/>
        </w:rPr>
        <w:t>。</w:t>
      </w:r>
      <w:r>
        <w:rPr>
          <w:rFonts w:hint="eastAsia" w:ascii="宋体" w:hAnsi="宋体"/>
          <w:szCs w:val="21"/>
        </w:rPr>
        <w:t>学科特色类</w:t>
      </w:r>
      <w:r>
        <w:rPr>
          <w:rFonts w:hint="eastAsia" w:ascii="宋体" w:hAnsi="宋体"/>
          <w:kern w:val="0"/>
          <w:szCs w:val="21"/>
        </w:rPr>
        <w:t>课程</w:t>
      </w:r>
      <w:r>
        <w:rPr>
          <w:rFonts w:hint="eastAsia" w:ascii="宋体" w:hAnsi="宋体"/>
          <w:szCs w:val="21"/>
        </w:rPr>
        <w:t>《陶艺》和实践体验类</w:t>
      </w:r>
      <w:r>
        <w:rPr>
          <w:rFonts w:hint="eastAsia" w:ascii="宋体" w:hAnsi="宋体"/>
          <w:kern w:val="0"/>
          <w:szCs w:val="21"/>
        </w:rPr>
        <w:t>课程</w:t>
      </w:r>
      <w:r>
        <w:rPr>
          <w:rFonts w:hint="eastAsia" w:ascii="宋体" w:hAnsi="宋体" w:cs="宋体"/>
          <w:szCs w:val="21"/>
        </w:rPr>
        <w:t>《</w:t>
      </w:r>
      <w:r>
        <w:rPr>
          <w:rFonts w:hint="eastAsia" w:ascii="宋体" w:hAnsi="宋体"/>
          <w:szCs w:val="21"/>
        </w:rPr>
        <w:t>走近虬江河》</w:t>
      </w:r>
      <w:r>
        <w:rPr>
          <w:rFonts w:hint="eastAsia" w:ascii="宋体" w:hAnsi="宋体"/>
          <w:kern w:val="0"/>
          <w:szCs w:val="21"/>
        </w:rPr>
        <w:t>代表嘉定区参加了</w:t>
      </w:r>
      <w:r>
        <w:rPr>
          <w:rFonts w:ascii="宋体" w:hAnsi="宋体"/>
          <w:kern w:val="0"/>
          <w:szCs w:val="21"/>
        </w:rPr>
        <w:t>上海市首届</w:t>
      </w:r>
      <w:r>
        <w:rPr>
          <w:rFonts w:hint="eastAsia" w:ascii="宋体" w:hAnsi="宋体"/>
          <w:kern w:val="0"/>
          <w:szCs w:val="21"/>
        </w:rPr>
        <w:t>中学</w:t>
      </w:r>
      <w:r>
        <w:rPr>
          <w:rFonts w:ascii="宋体" w:hAnsi="宋体"/>
          <w:kern w:val="0"/>
          <w:szCs w:val="21"/>
        </w:rPr>
        <w:t>校本课程展示</w:t>
      </w:r>
      <w:r>
        <w:rPr>
          <w:rFonts w:hint="eastAsia" w:ascii="宋体" w:hAnsi="宋体"/>
          <w:kern w:val="0"/>
          <w:szCs w:val="21"/>
        </w:rPr>
        <w:t>，</w:t>
      </w:r>
      <w:r>
        <w:rPr>
          <w:rFonts w:hint="eastAsia" w:cs="宋体"/>
        </w:rPr>
        <w:t>并获嘉定区中学校本课程评比一等奖；</w:t>
      </w:r>
      <w:r>
        <w:rPr>
          <w:rFonts w:hint="eastAsia"/>
        </w:rPr>
        <w:t>“磁力线课程”指南在2017年嘉定区中小学、幼儿园课程指南评选中获二等奖；</w:t>
      </w:r>
      <w:r>
        <w:rPr>
          <w:rFonts w:hint="eastAsia"/>
          <w:color w:val="auto"/>
          <w:lang w:eastAsia="zh-CN"/>
        </w:rPr>
        <w:t>形成</w:t>
      </w:r>
      <w:r>
        <w:rPr>
          <w:rFonts w:hint="eastAsia"/>
          <w:color w:val="auto"/>
        </w:rPr>
        <w:t>了实践体验类</w:t>
      </w:r>
      <w:r>
        <w:rPr>
          <w:rFonts w:hint="eastAsia"/>
          <w:color w:val="auto"/>
          <w:lang w:eastAsia="zh-CN"/>
        </w:rPr>
        <w:t>“</w:t>
      </w:r>
      <w:r>
        <w:rPr>
          <w:rFonts w:hint="eastAsia"/>
          <w:color w:val="auto"/>
        </w:rPr>
        <w:t>八大综合社会实践活动</w:t>
      </w:r>
      <w:r>
        <w:rPr>
          <w:rFonts w:hint="eastAsia"/>
          <w:color w:val="auto"/>
          <w:lang w:eastAsia="zh-CN"/>
        </w:rPr>
        <w:t>”</w:t>
      </w:r>
      <w:r>
        <w:rPr>
          <w:rFonts w:hint="eastAsia"/>
          <w:color w:val="auto"/>
        </w:rPr>
        <w:t>教师指导手册和</w:t>
      </w:r>
      <w:r>
        <w:rPr>
          <w:rFonts w:hint="eastAsia"/>
          <w:color w:val="auto"/>
          <w:lang w:eastAsia="zh-CN"/>
        </w:rPr>
        <w:t>学生活动</w:t>
      </w:r>
      <w:r>
        <w:rPr>
          <w:rFonts w:hint="eastAsia"/>
          <w:color w:val="auto"/>
        </w:rPr>
        <w:t>手册</w:t>
      </w:r>
      <w:r>
        <w:rPr>
          <w:rFonts w:hint="eastAsia"/>
          <w:color w:val="auto"/>
          <w:lang w:eastAsia="zh-CN"/>
        </w:rPr>
        <w:t>、</w:t>
      </w:r>
      <w:r>
        <w:rPr>
          <w:rFonts w:hint="eastAsia"/>
          <w:color w:val="auto"/>
        </w:rPr>
        <w:t>《“</w:t>
      </w:r>
      <w:r>
        <w:rPr>
          <w:rFonts w:hint="eastAsia"/>
          <w:color w:val="auto"/>
          <w:lang w:eastAsia="zh-CN"/>
        </w:rPr>
        <w:t>三会一有</w:t>
      </w:r>
      <w:r>
        <w:rPr>
          <w:rFonts w:hint="eastAsia"/>
          <w:color w:val="auto"/>
        </w:rPr>
        <w:t>”专题聚焦课程研修成果》</w:t>
      </w:r>
      <w:r>
        <w:rPr>
          <w:rFonts w:hint="eastAsia"/>
          <w:color w:val="auto"/>
          <w:lang w:eastAsia="zh-CN"/>
        </w:rPr>
        <w:t>。</w:t>
      </w:r>
    </w:p>
    <w:p>
      <w:pPr>
        <w:widowControl/>
        <w:spacing w:line="360" w:lineRule="auto"/>
        <w:ind w:firstLine="315" w:firstLineChars="150"/>
      </w:pPr>
      <w:r>
        <w:rPr>
          <w:rFonts w:hint="eastAsia"/>
          <w:lang w:eastAsia="zh-CN"/>
        </w:rPr>
        <w:t>学校成为</w:t>
      </w:r>
      <w:r>
        <w:rPr>
          <w:rFonts w:hint="eastAsia"/>
        </w:rPr>
        <w:t>“全国品质课程建设实验校”、“嘉定区第一、二轮品质课程建设实验校”、</w:t>
      </w:r>
      <w:r>
        <w:rPr>
          <w:rFonts w:hint="eastAsia"/>
          <w:lang w:eastAsia="zh-CN"/>
        </w:rPr>
        <w:t>“全国青少年校园足球特色学校”、“嘉定区</w:t>
      </w:r>
      <w:r>
        <w:rPr>
          <w:rFonts w:hint="eastAsia"/>
          <w:color w:val="auto"/>
          <w:lang w:eastAsia="zh-CN"/>
        </w:rPr>
        <w:t>体育传统项目学校（足球和羽毛球）</w:t>
      </w:r>
      <w:r>
        <w:rPr>
          <w:rFonts w:hint="eastAsia"/>
          <w:lang w:eastAsia="zh-CN"/>
        </w:rPr>
        <w:t>”、</w:t>
      </w:r>
      <w:r>
        <w:rPr>
          <w:rFonts w:hint="eastAsia"/>
        </w:rPr>
        <w:t>“嘉定青少年科创集散地项目实验校”、</w:t>
      </w:r>
      <w:r>
        <w:rPr>
          <w:rFonts w:hint="eastAsia"/>
          <w:lang w:eastAsia="zh-CN"/>
        </w:rPr>
        <w:t>“嘉定区青少年创客联合体成员单位”、</w:t>
      </w:r>
      <w:r>
        <w:rPr>
          <w:rFonts w:hint="eastAsia"/>
        </w:rPr>
        <w:t>“嘉定区管乐联盟学校”</w:t>
      </w:r>
      <w:r>
        <w:rPr>
          <w:rFonts w:hint="eastAsia"/>
          <w:lang w:eastAsia="zh-CN"/>
        </w:rPr>
        <w:t>、</w:t>
      </w:r>
      <w:r>
        <w:rPr>
          <w:rFonts w:hint="eastAsia"/>
        </w:rPr>
        <w:t>“嘉定区</w:t>
      </w:r>
      <w:r>
        <w:rPr>
          <w:rFonts w:hint="eastAsia"/>
          <w:lang w:eastAsia="zh-CN"/>
        </w:rPr>
        <w:t>陶艺</w:t>
      </w:r>
      <w:r>
        <w:rPr>
          <w:rFonts w:hint="eastAsia"/>
        </w:rPr>
        <w:t>联盟学校”，今年又</w:t>
      </w:r>
      <w:r>
        <w:rPr>
          <w:rFonts w:hint="eastAsia"/>
          <w:lang w:eastAsia="zh-CN"/>
        </w:rPr>
        <w:t>获评</w:t>
      </w:r>
      <w:r>
        <w:rPr>
          <w:rFonts w:hint="eastAsia"/>
        </w:rPr>
        <w:t>“基于区域特色的学校综合课程创造力研究和实践”项目学校。</w:t>
      </w:r>
    </w:p>
    <w:p>
      <w:pPr>
        <w:numPr>
          <w:ilvl w:val="0"/>
          <w:numId w:val="3"/>
        </w:numPr>
        <w:spacing w:line="360" w:lineRule="auto"/>
        <w:ind w:firstLine="1891" w:firstLineChars="900"/>
        <w:rPr>
          <w:b/>
        </w:rPr>
      </w:pPr>
      <w:r>
        <w:rPr>
          <w:rFonts w:hint="eastAsia"/>
          <w:b/>
        </w:rPr>
        <w:t>磁性课堂研究，促进课堂教学品质提升</w:t>
      </w:r>
    </w:p>
    <w:p>
      <w:pPr>
        <w:spacing w:line="360" w:lineRule="auto"/>
        <w:ind w:firstLine="420" w:firstLineChars="200"/>
      </w:pPr>
      <w:r>
        <w:rPr>
          <w:rFonts w:hint="eastAsia"/>
        </w:rPr>
        <w:t>“磁性”课程的实施离不开“磁性”的课堂，为使“磁性”课程真正发挥其育人价值，学校结合“绿色指标”评价的校本化实践研究，从2016年起重点实施“基于绿色指标的磁性课堂建设”项目，着力开展“磁性”课堂的研究与实践，以此项目研究为抓手引领教师专业成长，</w:t>
      </w:r>
      <w:r>
        <w:rPr>
          <w:rFonts w:hint="eastAsia"/>
          <w:lang w:eastAsia="zh-CN"/>
        </w:rPr>
        <w:t>提升课堂教学品质</w:t>
      </w:r>
      <w:r>
        <w:rPr>
          <w:rFonts w:hint="eastAsia"/>
        </w:rPr>
        <w:t>。</w:t>
      </w:r>
    </w:p>
    <w:p>
      <w:pPr>
        <w:numPr>
          <w:ilvl w:val="0"/>
          <w:numId w:val="4"/>
        </w:numPr>
        <w:spacing w:line="360" w:lineRule="auto"/>
        <w:rPr>
          <w:b/>
        </w:rPr>
      </w:pPr>
      <w:r>
        <w:rPr>
          <w:rFonts w:hint="eastAsia"/>
          <w:b/>
        </w:rPr>
        <w:t xml:space="preserve">磁性课堂的框架与内涵  </w:t>
      </w:r>
    </w:p>
    <w:p>
      <w:pPr>
        <w:numPr>
          <w:ilvl w:val="0"/>
          <w:numId w:val="5"/>
        </w:numPr>
        <w:spacing w:line="360" w:lineRule="auto"/>
        <w:rPr>
          <w:b/>
        </w:rPr>
      </w:pPr>
      <w:r>
        <w:rPr>
          <w:rFonts w:hint="eastAsia"/>
          <w:b/>
        </w:rPr>
        <w:t>关注绿色指标，找准研究方向</w:t>
      </w:r>
    </w:p>
    <w:p>
      <w:pPr>
        <w:spacing w:line="360" w:lineRule="auto"/>
        <w:ind w:firstLine="420" w:firstLineChars="200"/>
      </w:pPr>
      <w:r>
        <w:rPr>
          <w:rFonts w:hint="eastAsia"/>
        </w:rPr>
        <w:t>在区教育局和教育学院的指导下，我校对《2014、2015年学生学业质量绿色指标分析报告》进行了专题解读和分析。分析结果显示：本校学生的基础较扎实，学业质量水平稳中有升，各项指数均高于区平均或与区平均持平，这一结果说明，我校“重在奠基”的办学理念在教学中得到较好落实。但从存在的主要问题看：学生学业水平指数中的高层次思维能力指数不甚理想，相比学业成绩标准达成指数以及学业成绩个体间均衡指数等指标明显偏弱，说明我校学生在学习中思维能力的收获要少于知识传授，教师在课堂教学中，对思维能力的培养还有欠缺。于是，借助绿色质量评价体系，通过课堂转型，改进教学，提升教师专业水平，促进学生的全面均衡发展，成为学校持续发展的迫切任务。</w:t>
      </w:r>
    </w:p>
    <w:p>
      <w:pPr>
        <w:numPr>
          <w:ilvl w:val="0"/>
          <w:numId w:val="5"/>
        </w:numPr>
        <w:spacing w:line="360" w:lineRule="auto"/>
        <w:rPr>
          <w:b/>
        </w:rPr>
      </w:pPr>
      <w:r>
        <w:rPr>
          <w:rFonts w:hint="eastAsia"/>
          <w:b/>
        </w:rPr>
        <w:t>聚焦课堂教学，确定研究项目</w:t>
      </w:r>
    </w:p>
    <w:p>
      <w:pPr>
        <w:spacing w:line="360" w:lineRule="auto"/>
        <w:ind w:firstLine="420" w:firstLineChars="200"/>
        <w:rPr>
          <w:rFonts w:hint="eastAsia"/>
        </w:rPr>
      </w:pPr>
      <w:r>
        <w:rPr>
          <w:rFonts w:hint="eastAsia"/>
        </w:rPr>
        <w:t xml:space="preserve"> 为此，学校从2016年起确定并实施“十三·五”课程建设重点项目——“基于绿色指标的磁性课堂建设”，将“学生高阶思维培养”作为磁性课堂建设的突破口，推动课堂教学变革。在这个核心项目引领下，分学科选取切入点，成立了“在英语阅读微技能指导中激活学生思维”、“聚焦学生学习 提升思维品质——移动助学改变物理课堂”等11个磁性课堂研究子项目,明确研究的方向和路径。作为嘉定区初中“新优质联盟”主席学校，我们把项目研究拓展到联盟范围，各子项目组以校本教研、区域联动教研为载体开展实践研究。</w:t>
      </w:r>
    </w:p>
    <w:p>
      <w:pPr>
        <w:spacing w:line="360" w:lineRule="auto"/>
        <w:rPr>
          <w:rFonts w:hint="eastAsia" w:ascii="黑体" w:hAnsi="黑体" w:eastAsiaTheme="minorEastAsia"/>
          <w:szCs w:val="21"/>
          <w:lang w:eastAsia="zh-CN"/>
        </w:rPr>
      </w:pPr>
      <w:r>
        <w:rPr>
          <w:rFonts w:hint="eastAsia"/>
          <w:b/>
          <w:szCs w:val="21"/>
        </w:rPr>
        <w:t>各学科磁性课堂研究子项目</w:t>
      </w:r>
      <w:r>
        <w:rPr>
          <w:rFonts w:hint="eastAsia"/>
          <w:b/>
          <w:szCs w:val="21"/>
          <w:lang w:eastAsia="zh-CN"/>
        </w:rPr>
        <w:t>：</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134"/>
        <w:gridCol w:w="4819"/>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sz w:val="18"/>
                <w:szCs w:val="18"/>
              </w:rPr>
            </w:pPr>
            <w:r>
              <w:rPr>
                <w:rFonts w:hint="eastAsia"/>
                <w:sz w:val="18"/>
                <w:szCs w:val="18"/>
              </w:rPr>
              <w:t>序号</w:t>
            </w:r>
          </w:p>
        </w:tc>
        <w:tc>
          <w:tcPr>
            <w:tcW w:w="1134" w:type="dxa"/>
          </w:tcPr>
          <w:p>
            <w:pPr>
              <w:spacing w:line="360" w:lineRule="auto"/>
              <w:jc w:val="center"/>
              <w:rPr>
                <w:rFonts w:hint="eastAsia" w:eastAsiaTheme="minorEastAsia"/>
                <w:sz w:val="18"/>
                <w:szCs w:val="18"/>
                <w:lang w:eastAsia="zh-CN"/>
              </w:rPr>
            </w:pPr>
            <w:r>
              <w:rPr>
                <w:rFonts w:hint="eastAsia"/>
                <w:sz w:val="18"/>
                <w:szCs w:val="18"/>
                <w:lang w:eastAsia="zh-CN"/>
              </w:rPr>
              <w:t>学科</w:t>
            </w:r>
          </w:p>
        </w:tc>
        <w:tc>
          <w:tcPr>
            <w:tcW w:w="4819" w:type="dxa"/>
          </w:tcPr>
          <w:p>
            <w:pPr>
              <w:spacing w:line="360" w:lineRule="auto"/>
              <w:jc w:val="center"/>
              <w:rPr>
                <w:rFonts w:hint="eastAsia" w:eastAsiaTheme="minorEastAsia"/>
                <w:sz w:val="18"/>
                <w:szCs w:val="18"/>
                <w:lang w:eastAsia="zh-CN"/>
              </w:rPr>
            </w:pPr>
            <w:r>
              <w:rPr>
                <w:rFonts w:hint="eastAsia"/>
                <w:sz w:val="18"/>
                <w:szCs w:val="18"/>
              </w:rPr>
              <w:t>子项目研究</w:t>
            </w:r>
            <w:r>
              <w:rPr>
                <w:rFonts w:hint="eastAsia"/>
                <w:sz w:val="18"/>
                <w:szCs w:val="18"/>
                <w:lang w:eastAsia="zh-CN"/>
              </w:rPr>
              <w:t>主题</w:t>
            </w:r>
          </w:p>
        </w:tc>
        <w:tc>
          <w:tcPr>
            <w:tcW w:w="1610" w:type="dxa"/>
          </w:tcPr>
          <w:p>
            <w:pPr>
              <w:spacing w:line="360" w:lineRule="auto"/>
              <w:jc w:val="center"/>
              <w:rPr>
                <w:sz w:val="18"/>
                <w:szCs w:val="18"/>
              </w:rPr>
            </w:pPr>
            <w:r>
              <w:rPr>
                <w:rFonts w:hint="eastAsia"/>
                <w:sz w:val="18"/>
                <w:szCs w:val="18"/>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sz w:val="18"/>
                <w:szCs w:val="18"/>
              </w:rPr>
            </w:pPr>
            <w:r>
              <w:rPr>
                <w:sz w:val="18"/>
                <w:szCs w:val="18"/>
              </w:rPr>
              <w:t>1</w:t>
            </w:r>
          </w:p>
        </w:tc>
        <w:tc>
          <w:tcPr>
            <w:tcW w:w="1134" w:type="dxa"/>
          </w:tcPr>
          <w:p>
            <w:pPr>
              <w:spacing w:line="360" w:lineRule="auto"/>
              <w:jc w:val="center"/>
              <w:rPr>
                <w:sz w:val="18"/>
                <w:szCs w:val="18"/>
              </w:rPr>
            </w:pPr>
            <w:r>
              <w:rPr>
                <w:rFonts w:hint="eastAsia"/>
                <w:sz w:val="18"/>
                <w:szCs w:val="18"/>
              </w:rPr>
              <w:t>语文</w:t>
            </w:r>
          </w:p>
        </w:tc>
        <w:tc>
          <w:tcPr>
            <w:tcW w:w="4819" w:type="dxa"/>
          </w:tcPr>
          <w:p>
            <w:pPr>
              <w:spacing w:line="360" w:lineRule="auto"/>
              <w:jc w:val="center"/>
              <w:rPr>
                <w:sz w:val="18"/>
                <w:szCs w:val="18"/>
              </w:rPr>
            </w:pPr>
            <w:r>
              <w:rPr>
                <w:rFonts w:hint="eastAsia"/>
                <w:sz w:val="18"/>
                <w:szCs w:val="18"/>
              </w:rPr>
              <w:t>以有效生生互动打造磁性课堂</w:t>
            </w:r>
          </w:p>
        </w:tc>
        <w:tc>
          <w:tcPr>
            <w:tcW w:w="1610" w:type="dxa"/>
          </w:tcPr>
          <w:p>
            <w:pPr>
              <w:spacing w:line="360" w:lineRule="auto"/>
              <w:jc w:val="center"/>
              <w:rPr>
                <w:sz w:val="18"/>
                <w:szCs w:val="18"/>
              </w:rPr>
            </w:pPr>
            <w:r>
              <w:rPr>
                <w:rFonts w:hint="eastAsia"/>
                <w:sz w:val="18"/>
                <w:szCs w:val="18"/>
              </w:rPr>
              <w:t>周二梅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sz w:val="18"/>
                <w:szCs w:val="18"/>
              </w:rPr>
            </w:pPr>
            <w:r>
              <w:rPr>
                <w:sz w:val="18"/>
                <w:szCs w:val="18"/>
              </w:rPr>
              <w:t>2</w:t>
            </w:r>
          </w:p>
        </w:tc>
        <w:tc>
          <w:tcPr>
            <w:tcW w:w="1134" w:type="dxa"/>
          </w:tcPr>
          <w:p>
            <w:pPr>
              <w:spacing w:line="360" w:lineRule="auto"/>
              <w:jc w:val="center"/>
              <w:rPr>
                <w:sz w:val="18"/>
                <w:szCs w:val="18"/>
              </w:rPr>
            </w:pPr>
            <w:r>
              <w:rPr>
                <w:rFonts w:hint="eastAsia"/>
                <w:sz w:val="18"/>
                <w:szCs w:val="18"/>
              </w:rPr>
              <w:t>数学</w:t>
            </w:r>
          </w:p>
        </w:tc>
        <w:tc>
          <w:tcPr>
            <w:tcW w:w="4819" w:type="dxa"/>
          </w:tcPr>
          <w:p>
            <w:pPr>
              <w:spacing w:line="360" w:lineRule="auto"/>
              <w:jc w:val="center"/>
              <w:rPr>
                <w:sz w:val="18"/>
                <w:szCs w:val="18"/>
              </w:rPr>
            </w:pPr>
            <w:r>
              <w:rPr>
                <w:rFonts w:hint="eastAsia" w:ascii="宋体" w:hAnsi="宋体" w:cs="宋体"/>
                <w:sz w:val="18"/>
                <w:szCs w:val="18"/>
              </w:rPr>
              <w:t>互联网、大数据下的教与学</w:t>
            </w:r>
            <w:r>
              <w:rPr>
                <w:rFonts w:ascii="宋体" w:hAnsi="宋体" w:cs="宋体"/>
                <w:sz w:val="18"/>
                <w:szCs w:val="18"/>
              </w:rPr>
              <w:t>——</w:t>
            </w:r>
            <w:r>
              <w:rPr>
                <w:rFonts w:hint="eastAsia" w:ascii="宋体" w:hAnsi="宋体" w:cs="宋体"/>
                <w:sz w:val="18"/>
                <w:szCs w:val="18"/>
              </w:rPr>
              <w:t>课堂即时评价</w:t>
            </w:r>
          </w:p>
        </w:tc>
        <w:tc>
          <w:tcPr>
            <w:tcW w:w="1610" w:type="dxa"/>
          </w:tcPr>
          <w:p>
            <w:pPr>
              <w:spacing w:line="360" w:lineRule="auto"/>
              <w:jc w:val="center"/>
              <w:rPr>
                <w:sz w:val="18"/>
                <w:szCs w:val="18"/>
              </w:rPr>
            </w:pPr>
            <w:r>
              <w:rPr>
                <w:rFonts w:hint="eastAsia"/>
                <w:sz w:val="18"/>
                <w:szCs w:val="18"/>
              </w:rPr>
              <w:t>李萍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sz w:val="18"/>
                <w:szCs w:val="18"/>
              </w:rPr>
            </w:pPr>
            <w:r>
              <w:rPr>
                <w:sz w:val="18"/>
                <w:szCs w:val="18"/>
              </w:rPr>
              <w:t>3</w:t>
            </w:r>
          </w:p>
        </w:tc>
        <w:tc>
          <w:tcPr>
            <w:tcW w:w="1134" w:type="dxa"/>
          </w:tcPr>
          <w:p>
            <w:pPr>
              <w:spacing w:line="360" w:lineRule="auto"/>
              <w:jc w:val="center"/>
              <w:rPr>
                <w:sz w:val="18"/>
                <w:szCs w:val="18"/>
              </w:rPr>
            </w:pPr>
            <w:r>
              <w:rPr>
                <w:rFonts w:hint="eastAsia"/>
                <w:sz w:val="18"/>
                <w:szCs w:val="18"/>
              </w:rPr>
              <w:t>英语</w:t>
            </w:r>
          </w:p>
        </w:tc>
        <w:tc>
          <w:tcPr>
            <w:tcW w:w="4819" w:type="dxa"/>
          </w:tcPr>
          <w:p>
            <w:pPr>
              <w:spacing w:line="360" w:lineRule="auto"/>
              <w:jc w:val="center"/>
              <w:rPr>
                <w:sz w:val="18"/>
                <w:szCs w:val="18"/>
              </w:rPr>
            </w:pPr>
            <w:r>
              <w:rPr>
                <w:rFonts w:hint="eastAsia"/>
                <w:sz w:val="18"/>
                <w:szCs w:val="18"/>
              </w:rPr>
              <w:t>在英语阅读微技能指导中激活学生思维</w:t>
            </w:r>
          </w:p>
        </w:tc>
        <w:tc>
          <w:tcPr>
            <w:tcW w:w="1610" w:type="dxa"/>
          </w:tcPr>
          <w:p>
            <w:pPr>
              <w:spacing w:line="360" w:lineRule="auto"/>
              <w:jc w:val="center"/>
              <w:rPr>
                <w:sz w:val="18"/>
                <w:szCs w:val="18"/>
              </w:rPr>
            </w:pPr>
            <w:r>
              <w:rPr>
                <w:rFonts w:hint="eastAsia"/>
                <w:sz w:val="18"/>
                <w:szCs w:val="18"/>
              </w:rPr>
              <w:t>刘妍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sz w:val="18"/>
                <w:szCs w:val="18"/>
              </w:rPr>
            </w:pPr>
            <w:r>
              <w:rPr>
                <w:sz w:val="18"/>
                <w:szCs w:val="18"/>
              </w:rPr>
              <w:t>4</w:t>
            </w:r>
          </w:p>
        </w:tc>
        <w:tc>
          <w:tcPr>
            <w:tcW w:w="1134" w:type="dxa"/>
            <w:vMerge w:val="restart"/>
            <w:vAlign w:val="center"/>
          </w:tcPr>
          <w:p>
            <w:pPr>
              <w:spacing w:line="360" w:lineRule="auto"/>
              <w:jc w:val="center"/>
              <w:rPr>
                <w:sz w:val="18"/>
                <w:szCs w:val="18"/>
              </w:rPr>
            </w:pPr>
            <w:r>
              <w:rPr>
                <w:rFonts w:hint="eastAsia"/>
                <w:sz w:val="18"/>
                <w:szCs w:val="18"/>
              </w:rPr>
              <w:t>物理</w:t>
            </w:r>
          </w:p>
        </w:tc>
        <w:tc>
          <w:tcPr>
            <w:tcW w:w="4819" w:type="dxa"/>
          </w:tcPr>
          <w:p>
            <w:pPr>
              <w:spacing w:line="360" w:lineRule="auto"/>
              <w:jc w:val="center"/>
              <w:rPr>
                <w:sz w:val="18"/>
                <w:szCs w:val="18"/>
              </w:rPr>
            </w:pPr>
            <w:r>
              <w:rPr>
                <w:rFonts w:hint="eastAsia"/>
                <w:sz w:val="18"/>
                <w:szCs w:val="18"/>
              </w:rPr>
              <w:t>镜像同屏技术下的课堂信息交互研究</w:t>
            </w:r>
          </w:p>
        </w:tc>
        <w:tc>
          <w:tcPr>
            <w:tcW w:w="1610" w:type="dxa"/>
          </w:tcPr>
          <w:p>
            <w:pPr>
              <w:spacing w:line="360" w:lineRule="auto"/>
              <w:jc w:val="center"/>
              <w:rPr>
                <w:sz w:val="18"/>
                <w:szCs w:val="18"/>
              </w:rPr>
            </w:pPr>
            <w:r>
              <w:rPr>
                <w:rFonts w:hint="eastAsia"/>
                <w:sz w:val="18"/>
                <w:szCs w:val="18"/>
              </w:rPr>
              <w:t>刘苹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sz w:val="18"/>
                <w:szCs w:val="18"/>
              </w:rPr>
            </w:pPr>
            <w:r>
              <w:rPr>
                <w:sz w:val="18"/>
                <w:szCs w:val="18"/>
              </w:rPr>
              <w:t>5</w:t>
            </w:r>
          </w:p>
        </w:tc>
        <w:tc>
          <w:tcPr>
            <w:tcW w:w="1134" w:type="dxa"/>
            <w:vMerge w:val="continue"/>
          </w:tcPr>
          <w:p>
            <w:pPr>
              <w:spacing w:line="360" w:lineRule="auto"/>
              <w:rPr>
                <w:sz w:val="18"/>
                <w:szCs w:val="18"/>
              </w:rPr>
            </w:pPr>
          </w:p>
        </w:tc>
        <w:tc>
          <w:tcPr>
            <w:tcW w:w="4819" w:type="dxa"/>
          </w:tcPr>
          <w:p>
            <w:pPr>
              <w:spacing w:line="360" w:lineRule="auto"/>
              <w:jc w:val="center"/>
              <w:rPr>
                <w:sz w:val="18"/>
                <w:szCs w:val="18"/>
              </w:rPr>
            </w:pPr>
            <w:r>
              <w:rPr>
                <w:rFonts w:hint="eastAsia"/>
                <w:sz w:val="18"/>
                <w:szCs w:val="18"/>
              </w:rPr>
              <w:t>聚焦学生学习 提升思维品质——移动助学改变物理课堂</w:t>
            </w:r>
          </w:p>
        </w:tc>
        <w:tc>
          <w:tcPr>
            <w:tcW w:w="1610" w:type="dxa"/>
          </w:tcPr>
          <w:p>
            <w:pPr>
              <w:spacing w:line="360" w:lineRule="auto"/>
              <w:jc w:val="center"/>
              <w:rPr>
                <w:sz w:val="18"/>
                <w:szCs w:val="18"/>
              </w:rPr>
            </w:pPr>
            <w:r>
              <w:rPr>
                <w:rFonts w:hint="eastAsia"/>
                <w:sz w:val="18"/>
                <w:szCs w:val="18"/>
              </w:rPr>
              <w:t>陈叶青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sz w:val="18"/>
                <w:szCs w:val="18"/>
              </w:rPr>
            </w:pPr>
            <w:r>
              <w:rPr>
                <w:sz w:val="18"/>
                <w:szCs w:val="18"/>
              </w:rPr>
              <w:t>6</w:t>
            </w:r>
          </w:p>
        </w:tc>
        <w:tc>
          <w:tcPr>
            <w:tcW w:w="1134" w:type="dxa"/>
          </w:tcPr>
          <w:p>
            <w:pPr>
              <w:spacing w:line="360" w:lineRule="auto"/>
              <w:jc w:val="center"/>
              <w:rPr>
                <w:sz w:val="18"/>
                <w:szCs w:val="18"/>
              </w:rPr>
            </w:pPr>
            <w:r>
              <w:rPr>
                <w:rFonts w:hint="eastAsia"/>
                <w:sz w:val="18"/>
                <w:szCs w:val="18"/>
              </w:rPr>
              <w:t>化学</w:t>
            </w:r>
          </w:p>
        </w:tc>
        <w:tc>
          <w:tcPr>
            <w:tcW w:w="4819" w:type="dxa"/>
          </w:tcPr>
          <w:p>
            <w:pPr>
              <w:spacing w:line="360" w:lineRule="auto"/>
              <w:jc w:val="center"/>
              <w:rPr>
                <w:sz w:val="18"/>
                <w:szCs w:val="18"/>
              </w:rPr>
            </w:pPr>
            <w:r>
              <w:rPr>
                <w:rFonts w:hint="eastAsia"/>
                <w:sz w:val="18"/>
                <w:szCs w:val="18"/>
              </w:rPr>
              <w:t>以实验为中心的磁性课堂</w:t>
            </w:r>
          </w:p>
        </w:tc>
        <w:tc>
          <w:tcPr>
            <w:tcW w:w="1610" w:type="dxa"/>
          </w:tcPr>
          <w:p>
            <w:pPr>
              <w:spacing w:line="360" w:lineRule="auto"/>
              <w:jc w:val="center"/>
              <w:rPr>
                <w:sz w:val="18"/>
                <w:szCs w:val="18"/>
              </w:rPr>
            </w:pPr>
            <w:r>
              <w:rPr>
                <w:rFonts w:hint="eastAsia"/>
                <w:sz w:val="18"/>
                <w:szCs w:val="18"/>
              </w:rPr>
              <w:t>周承燕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sz w:val="18"/>
                <w:szCs w:val="18"/>
              </w:rPr>
            </w:pPr>
            <w:r>
              <w:rPr>
                <w:sz w:val="18"/>
                <w:szCs w:val="18"/>
              </w:rPr>
              <w:t>7</w:t>
            </w:r>
          </w:p>
        </w:tc>
        <w:tc>
          <w:tcPr>
            <w:tcW w:w="1134" w:type="dxa"/>
          </w:tcPr>
          <w:p>
            <w:pPr>
              <w:spacing w:line="360" w:lineRule="auto"/>
              <w:jc w:val="center"/>
              <w:rPr>
                <w:sz w:val="18"/>
                <w:szCs w:val="18"/>
              </w:rPr>
            </w:pPr>
            <w:r>
              <w:rPr>
                <w:rFonts w:hint="eastAsia"/>
                <w:sz w:val="18"/>
                <w:szCs w:val="18"/>
              </w:rPr>
              <w:t>体育</w:t>
            </w:r>
          </w:p>
        </w:tc>
        <w:tc>
          <w:tcPr>
            <w:tcW w:w="4819" w:type="dxa"/>
          </w:tcPr>
          <w:p>
            <w:pPr>
              <w:spacing w:line="360" w:lineRule="auto"/>
              <w:jc w:val="center"/>
              <w:rPr>
                <w:sz w:val="18"/>
                <w:szCs w:val="18"/>
              </w:rPr>
            </w:pPr>
            <w:r>
              <w:rPr>
                <w:rFonts w:hint="eastAsia"/>
                <w:sz w:val="18"/>
                <w:szCs w:val="18"/>
              </w:rPr>
              <w:t>运用“团队合作</w:t>
            </w:r>
            <w:r>
              <w:rPr>
                <w:sz w:val="18"/>
                <w:szCs w:val="18"/>
              </w:rPr>
              <w:t>-</w:t>
            </w:r>
            <w:r>
              <w:rPr>
                <w:rFonts w:hint="eastAsia"/>
                <w:sz w:val="18"/>
                <w:szCs w:val="18"/>
              </w:rPr>
              <w:t>竞争模式”提高学生体育兴趣</w:t>
            </w:r>
          </w:p>
        </w:tc>
        <w:tc>
          <w:tcPr>
            <w:tcW w:w="1610" w:type="dxa"/>
          </w:tcPr>
          <w:p>
            <w:pPr>
              <w:spacing w:line="360" w:lineRule="auto"/>
              <w:jc w:val="center"/>
              <w:rPr>
                <w:sz w:val="18"/>
                <w:szCs w:val="18"/>
              </w:rPr>
            </w:pPr>
            <w:r>
              <w:rPr>
                <w:rFonts w:hint="eastAsia"/>
                <w:sz w:val="18"/>
                <w:szCs w:val="18"/>
              </w:rPr>
              <w:t>束仁忠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sz w:val="18"/>
                <w:szCs w:val="18"/>
              </w:rPr>
            </w:pPr>
            <w:r>
              <w:rPr>
                <w:sz w:val="18"/>
                <w:szCs w:val="18"/>
              </w:rPr>
              <w:t>8</w:t>
            </w:r>
          </w:p>
        </w:tc>
        <w:tc>
          <w:tcPr>
            <w:tcW w:w="1134" w:type="dxa"/>
          </w:tcPr>
          <w:p>
            <w:pPr>
              <w:spacing w:line="360" w:lineRule="auto"/>
              <w:jc w:val="center"/>
              <w:rPr>
                <w:sz w:val="18"/>
                <w:szCs w:val="18"/>
              </w:rPr>
            </w:pPr>
            <w:r>
              <w:rPr>
                <w:rFonts w:hint="eastAsia"/>
                <w:sz w:val="18"/>
                <w:szCs w:val="18"/>
              </w:rPr>
              <w:t>艺术</w:t>
            </w:r>
          </w:p>
        </w:tc>
        <w:tc>
          <w:tcPr>
            <w:tcW w:w="4819" w:type="dxa"/>
          </w:tcPr>
          <w:p>
            <w:pPr>
              <w:spacing w:line="360" w:lineRule="auto"/>
              <w:jc w:val="center"/>
              <w:rPr>
                <w:sz w:val="18"/>
                <w:szCs w:val="18"/>
              </w:rPr>
            </w:pPr>
            <w:r>
              <w:rPr>
                <w:rFonts w:hint="eastAsia"/>
                <w:sz w:val="18"/>
                <w:szCs w:val="18"/>
              </w:rPr>
              <w:t>陶艺磁性课堂的研究</w:t>
            </w:r>
          </w:p>
        </w:tc>
        <w:tc>
          <w:tcPr>
            <w:tcW w:w="1610" w:type="dxa"/>
          </w:tcPr>
          <w:p>
            <w:pPr>
              <w:spacing w:line="360" w:lineRule="auto"/>
              <w:jc w:val="center"/>
              <w:rPr>
                <w:sz w:val="18"/>
                <w:szCs w:val="18"/>
              </w:rPr>
            </w:pPr>
            <w:r>
              <w:rPr>
                <w:rFonts w:hint="eastAsia"/>
                <w:sz w:val="18"/>
                <w:szCs w:val="18"/>
              </w:rPr>
              <w:t>刘安敏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sz w:val="18"/>
                <w:szCs w:val="18"/>
              </w:rPr>
            </w:pPr>
            <w:r>
              <w:rPr>
                <w:sz w:val="18"/>
                <w:szCs w:val="18"/>
              </w:rPr>
              <w:t>9</w:t>
            </w:r>
          </w:p>
        </w:tc>
        <w:tc>
          <w:tcPr>
            <w:tcW w:w="1134" w:type="dxa"/>
            <w:vMerge w:val="restart"/>
            <w:vAlign w:val="center"/>
          </w:tcPr>
          <w:p>
            <w:pPr>
              <w:spacing w:line="360" w:lineRule="auto"/>
              <w:jc w:val="center"/>
              <w:rPr>
                <w:sz w:val="18"/>
                <w:szCs w:val="18"/>
              </w:rPr>
            </w:pPr>
            <w:r>
              <w:rPr>
                <w:rFonts w:hint="eastAsia"/>
                <w:sz w:val="18"/>
                <w:szCs w:val="18"/>
              </w:rPr>
              <w:t>史地</w:t>
            </w:r>
          </w:p>
        </w:tc>
        <w:tc>
          <w:tcPr>
            <w:tcW w:w="4819" w:type="dxa"/>
          </w:tcPr>
          <w:p>
            <w:pPr>
              <w:spacing w:line="360" w:lineRule="auto"/>
              <w:jc w:val="center"/>
              <w:rPr>
                <w:sz w:val="18"/>
                <w:szCs w:val="18"/>
              </w:rPr>
            </w:pPr>
            <w:r>
              <w:rPr>
                <w:rFonts w:hint="eastAsia"/>
                <w:sz w:val="18"/>
                <w:szCs w:val="18"/>
              </w:rPr>
              <w:t>以“行为体验”增强地理课堂“磁性”的研究</w:t>
            </w:r>
          </w:p>
        </w:tc>
        <w:tc>
          <w:tcPr>
            <w:tcW w:w="1610" w:type="dxa"/>
          </w:tcPr>
          <w:p>
            <w:pPr>
              <w:spacing w:line="360" w:lineRule="auto"/>
              <w:jc w:val="center"/>
              <w:rPr>
                <w:sz w:val="18"/>
                <w:szCs w:val="18"/>
              </w:rPr>
            </w:pPr>
            <w:r>
              <w:rPr>
                <w:rFonts w:hint="eastAsia"/>
                <w:sz w:val="18"/>
                <w:szCs w:val="18"/>
              </w:rPr>
              <w:t>夏丹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sz w:val="18"/>
                <w:szCs w:val="18"/>
              </w:rPr>
            </w:pPr>
            <w:r>
              <w:rPr>
                <w:sz w:val="18"/>
                <w:szCs w:val="18"/>
              </w:rPr>
              <w:t>10</w:t>
            </w:r>
          </w:p>
        </w:tc>
        <w:tc>
          <w:tcPr>
            <w:tcW w:w="1134" w:type="dxa"/>
            <w:vMerge w:val="continue"/>
          </w:tcPr>
          <w:p>
            <w:pPr>
              <w:spacing w:line="360" w:lineRule="auto"/>
              <w:jc w:val="center"/>
              <w:rPr>
                <w:sz w:val="18"/>
                <w:szCs w:val="18"/>
              </w:rPr>
            </w:pPr>
          </w:p>
        </w:tc>
        <w:tc>
          <w:tcPr>
            <w:tcW w:w="4819" w:type="dxa"/>
          </w:tcPr>
          <w:p>
            <w:pPr>
              <w:spacing w:line="360" w:lineRule="auto"/>
              <w:jc w:val="center"/>
              <w:rPr>
                <w:sz w:val="18"/>
                <w:szCs w:val="18"/>
              </w:rPr>
            </w:pPr>
            <w:r>
              <w:rPr>
                <w:rFonts w:hint="eastAsia"/>
                <w:sz w:val="18"/>
                <w:szCs w:val="18"/>
              </w:rPr>
              <w:t>磁性语言打造“叙史见人”</w:t>
            </w:r>
          </w:p>
        </w:tc>
        <w:tc>
          <w:tcPr>
            <w:tcW w:w="1610" w:type="dxa"/>
          </w:tcPr>
          <w:p>
            <w:pPr>
              <w:spacing w:line="360" w:lineRule="auto"/>
              <w:jc w:val="center"/>
              <w:rPr>
                <w:sz w:val="18"/>
                <w:szCs w:val="18"/>
              </w:rPr>
            </w:pPr>
            <w:r>
              <w:rPr>
                <w:rFonts w:hint="eastAsia"/>
                <w:sz w:val="18"/>
                <w:szCs w:val="18"/>
              </w:rPr>
              <w:t>马文燕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sz w:val="18"/>
                <w:szCs w:val="18"/>
              </w:rPr>
            </w:pPr>
            <w:r>
              <w:rPr>
                <w:sz w:val="18"/>
                <w:szCs w:val="18"/>
              </w:rPr>
              <w:t>11</w:t>
            </w:r>
          </w:p>
        </w:tc>
        <w:tc>
          <w:tcPr>
            <w:tcW w:w="1134" w:type="dxa"/>
          </w:tcPr>
          <w:p>
            <w:pPr>
              <w:spacing w:line="360" w:lineRule="auto"/>
              <w:jc w:val="center"/>
              <w:rPr>
                <w:sz w:val="18"/>
                <w:szCs w:val="18"/>
              </w:rPr>
            </w:pPr>
            <w:r>
              <w:rPr>
                <w:rFonts w:hint="eastAsia"/>
                <w:sz w:val="18"/>
                <w:szCs w:val="18"/>
              </w:rPr>
              <w:t>思品</w:t>
            </w:r>
          </w:p>
        </w:tc>
        <w:tc>
          <w:tcPr>
            <w:tcW w:w="4819" w:type="dxa"/>
          </w:tcPr>
          <w:p>
            <w:pPr>
              <w:spacing w:line="360" w:lineRule="auto"/>
              <w:jc w:val="center"/>
              <w:rPr>
                <w:sz w:val="18"/>
                <w:szCs w:val="18"/>
              </w:rPr>
            </w:pPr>
            <w:r>
              <w:rPr>
                <w:rFonts w:hint="eastAsia"/>
                <w:sz w:val="18"/>
                <w:szCs w:val="18"/>
              </w:rPr>
              <w:t>奏响生活旋律</w:t>
            </w:r>
            <w:r>
              <w:rPr>
                <w:sz w:val="18"/>
                <w:szCs w:val="18"/>
              </w:rPr>
              <w:t xml:space="preserve">  </w:t>
            </w:r>
            <w:r>
              <w:rPr>
                <w:rFonts w:hint="eastAsia"/>
                <w:sz w:val="18"/>
                <w:szCs w:val="18"/>
              </w:rPr>
              <w:t>打造磁性思品课堂</w:t>
            </w:r>
          </w:p>
        </w:tc>
        <w:tc>
          <w:tcPr>
            <w:tcW w:w="1610" w:type="dxa"/>
          </w:tcPr>
          <w:p>
            <w:pPr>
              <w:spacing w:line="360" w:lineRule="auto"/>
              <w:jc w:val="center"/>
              <w:rPr>
                <w:sz w:val="18"/>
                <w:szCs w:val="18"/>
              </w:rPr>
            </w:pPr>
            <w:r>
              <w:rPr>
                <w:rFonts w:hint="eastAsia"/>
                <w:sz w:val="18"/>
                <w:szCs w:val="18"/>
              </w:rPr>
              <w:t>孙丽霞</w:t>
            </w:r>
          </w:p>
        </w:tc>
      </w:tr>
    </w:tbl>
    <w:p>
      <w:pPr>
        <w:numPr>
          <w:ilvl w:val="0"/>
          <w:numId w:val="5"/>
        </w:numPr>
        <w:spacing w:line="360" w:lineRule="auto"/>
        <w:rPr>
          <w:b/>
          <w:bCs/>
        </w:rPr>
      </w:pPr>
      <w:r>
        <w:rPr>
          <w:rFonts w:hint="eastAsia"/>
          <w:b/>
          <w:bCs/>
        </w:rPr>
        <w:t>把握磁性内涵，树立课堂愿景</w:t>
      </w:r>
    </w:p>
    <w:p>
      <w:pPr>
        <w:spacing w:line="360" w:lineRule="auto"/>
        <w:ind w:firstLine="210" w:firstLineChars="100"/>
      </w:pPr>
      <w:r>
        <w:rPr>
          <w:rFonts w:hint="eastAsia"/>
        </w:rPr>
        <w:t>我们认为，所谓</w:t>
      </w:r>
      <w:r>
        <w:rPr>
          <w:rFonts w:hint="eastAsia"/>
          <w:b w:val="0"/>
          <w:bCs w:val="0"/>
        </w:rPr>
        <w:t>磁性课堂</w:t>
      </w:r>
      <w:r>
        <w:rPr>
          <w:rFonts w:hint="eastAsia"/>
        </w:rPr>
        <w:t>，就是要求整个教学空间像一个充满张力的大磁场，师生之间充满有机互动，相互吸引、相互作用、切磋琢磨且绵绵不断，这就要求老师们力求使自己的每一节课都具有新意、充满趣味、富有生机和吸引力，激发学生主动学习和探索的欲望，让学生的知识能力情感产生美妙的磁性变化。</w:t>
      </w:r>
    </w:p>
    <w:p>
      <w:pPr>
        <w:spacing w:line="360" w:lineRule="auto"/>
        <w:ind w:firstLine="210" w:firstLineChars="100"/>
        <w:rPr>
          <w:color w:val="0000FF"/>
        </w:rPr>
      </w:pPr>
      <w:r>
        <w:rPr>
          <w:rFonts w:hint="eastAsia"/>
        </w:rPr>
        <w:t>打造</w:t>
      </w:r>
      <w:r>
        <w:rPr>
          <w:rFonts w:hint="eastAsia"/>
          <w:b w:val="0"/>
          <w:bCs w:val="0"/>
        </w:rPr>
        <w:t>“生动、互动、灵动、高效”</w:t>
      </w:r>
      <w:r>
        <w:rPr>
          <w:rFonts w:hint="eastAsia"/>
        </w:rPr>
        <w:t>的磁性课堂，建设</w:t>
      </w:r>
      <w:r>
        <w:rPr>
          <w:rFonts w:hint="eastAsia"/>
          <w:b w:val="0"/>
          <w:bCs w:val="0"/>
        </w:rPr>
        <w:t>富有活力、充满张力</w:t>
      </w:r>
      <w:r>
        <w:rPr>
          <w:rFonts w:hint="eastAsia"/>
        </w:rPr>
        <w:t>的磁性课堂是江中教师的共同追求。</w:t>
      </w:r>
    </w:p>
    <w:p>
      <w:pPr>
        <w:spacing w:line="360" w:lineRule="auto"/>
      </w:pPr>
      <w:r>
        <w:rPr>
          <w:rFonts w:hint="eastAsia"/>
          <w:b/>
        </w:rPr>
        <w:t>二、磁性课堂的建设与实施</w:t>
      </w:r>
    </w:p>
    <w:p>
      <w:pPr>
        <w:spacing w:line="360" w:lineRule="auto"/>
        <w:rPr>
          <w:b/>
        </w:rPr>
      </w:pPr>
      <w:r>
        <w:rPr>
          <w:rFonts w:hint="eastAsia"/>
          <w:b/>
        </w:rPr>
        <w:t>1</w:t>
      </w:r>
      <w:r>
        <w:rPr>
          <w:b/>
        </w:rPr>
        <w:t xml:space="preserve">. </w:t>
      </w:r>
      <w:r>
        <w:rPr>
          <w:rFonts w:hint="eastAsia"/>
          <w:b/>
        </w:rPr>
        <w:t>组织学习培训，夯实研究基础</w:t>
      </w:r>
    </w:p>
    <w:p>
      <w:pPr>
        <w:spacing w:line="360" w:lineRule="auto"/>
      </w:pPr>
      <w:r>
        <w:rPr>
          <w:rFonts w:hint="eastAsia"/>
          <w:b/>
        </w:rPr>
        <w:t xml:space="preserve">    </w:t>
      </w:r>
      <w:r>
        <w:rPr>
          <w:rFonts w:hint="eastAsia"/>
        </w:rPr>
        <w:t>研究项目确定后，围绕项目研究中的高阶思维、磁性课堂等关键词开展了系列校本培训与学习交流。通过走出去、请进来的方式，帮助教师拓宽学术视野，更新理念方法。如组织项目组成员参加市级学科教研活动、</w:t>
      </w:r>
      <w:r>
        <w:rPr>
          <w:rFonts w:hint="eastAsia"/>
          <w:lang w:eastAsia="zh-CN"/>
        </w:rPr>
        <w:t>外出</w:t>
      </w:r>
      <w:r>
        <w:rPr>
          <w:rFonts w:hint="eastAsia"/>
        </w:rPr>
        <w:t>考察学习、邀请</w:t>
      </w:r>
      <w:r>
        <w:rPr>
          <w:rFonts w:hint="eastAsia"/>
          <w:lang w:eastAsia="zh-CN"/>
        </w:rPr>
        <w:t>专家</w:t>
      </w:r>
      <w:r>
        <w:rPr>
          <w:rFonts w:hint="eastAsia"/>
        </w:rPr>
        <w:t>来校指导等，为提升教师设计与实施“磁性”课堂的能力打下扎实的基础。</w:t>
      </w:r>
    </w:p>
    <w:p>
      <w:pPr>
        <w:spacing w:line="360" w:lineRule="auto"/>
        <w:rPr>
          <w:b/>
        </w:rPr>
      </w:pPr>
      <w:r>
        <w:rPr>
          <w:rFonts w:hint="eastAsia"/>
          <w:b/>
        </w:rPr>
        <w:t>2</w:t>
      </w:r>
      <w:r>
        <w:rPr>
          <w:b/>
        </w:rPr>
        <w:t xml:space="preserve">. </w:t>
      </w:r>
      <w:r>
        <w:rPr>
          <w:rFonts w:hint="eastAsia"/>
          <w:b/>
        </w:rPr>
        <w:t>开展实践探索，优化研究路径</w:t>
      </w:r>
    </w:p>
    <w:p>
      <w:pPr>
        <w:spacing w:line="360" w:lineRule="auto"/>
        <w:ind w:firstLine="420" w:firstLineChars="200"/>
        <w:rPr>
          <w:color w:val="0000FF"/>
        </w:rPr>
      </w:pPr>
      <w:r>
        <w:rPr>
          <w:rFonts w:hint="eastAsia"/>
        </w:rPr>
        <w:t>各子项目组在充分研究可能的富有学科特色的课堂教学模式，包括理论依据、操作流程和具体办法的基础上，适时进行课堂教学实践研究和探索，不断解决问题，优化路径。优化研究策略和路径。三年来，各子项目组在市、区、联盟、</w:t>
      </w:r>
      <w:r>
        <w:rPr>
          <w:rFonts w:hint="eastAsia"/>
          <w:lang w:eastAsia="zh-CN"/>
        </w:rPr>
        <w:t>学区</w:t>
      </w:r>
      <w:r>
        <w:rPr>
          <w:rFonts w:hint="eastAsia"/>
        </w:rPr>
        <w:t>范围内开展了多次交流研讨和阶段展示活动。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2410"/>
        <w:gridCol w:w="2126"/>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846" w:type="dxa"/>
            <w:shd w:val="clear" w:color="auto" w:fill="B4C6E7" w:themeFill="accent1" w:themeFillTint="66"/>
            <w:vAlign w:val="center"/>
          </w:tcPr>
          <w:p>
            <w:pPr>
              <w:jc w:val="center"/>
            </w:pPr>
            <w:r>
              <w:rPr>
                <w:rFonts w:hint="eastAsia"/>
              </w:rPr>
              <w:t>学科</w:t>
            </w:r>
          </w:p>
        </w:tc>
        <w:tc>
          <w:tcPr>
            <w:tcW w:w="2410" w:type="dxa"/>
            <w:shd w:val="clear" w:color="auto" w:fill="B4C6E7" w:themeFill="accent1" w:themeFillTint="66"/>
            <w:vAlign w:val="center"/>
          </w:tcPr>
          <w:p>
            <w:pPr>
              <w:jc w:val="center"/>
            </w:pPr>
            <w:r>
              <w:rPr>
                <w:rFonts w:hint="eastAsia"/>
              </w:rPr>
              <w:t>子项目</w:t>
            </w:r>
          </w:p>
        </w:tc>
        <w:tc>
          <w:tcPr>
            <w:tcW w:w="2126" w:type="dxa"/>
            <w:shd w:val="clear" w:color="auto" w:fill="B4C6E7" w:themeFill="accent1" w:themeFillTint="66"/>
            <w:vAlign w:val="center"/>
          </w:tcPr>
          <w:p>
            <w:pPr>
              <w:jc w:val="center"/>
            </w:pPr>
            <w:r>
              <w:rPr>
                <w:rFonts w:hint="eastAsia"/>
              </w:rPr>
              <w:t>活动时间</w:t>
            </w:r>
          </w:p>
        </w:tc>
        <w:tc>
          <w:tcPr>
            <w:tcW w:w="2914" w:type="dxa"/>
            <w:shd w:val="clear" w:color="auto" w:fill="B4C6E7" w:themeFill="accent1" w:themeFillTint="66"/>
            <w:vAlign w:val="center"/>
          </w:tcPr>
          <w:p>
            <w:pPr>
              <w:jc w:val="center"/>
            </w:pPr>
            <w:r>
              <w:rPr>
                <w:rFonts w:hint="eastAsia"/>
              </w:rPr>
              <w:t>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jc w:val="center"/>
            </w:pPr>
            <w:r>
              <w:rPr>
                <w:rFonts w:hint="eastAsia"/>
              </w:rPr>
              <w:t>语文</w:t>
            </w:r>
          </w:p>
        </w:tc>
        <w:tc>
          <w:tcPr>
            <w:tcW w:w="2410" w:type="dxa"/>
            <w:vAlign w:val="center"/>
          </w:tcPr>
          <w:p>
            <w:pPr>
              <w:jc w:val="center"/>
            </w:pPr>
            <w:r>
              <w:rPr>
                <w:rFonts w:hint="eastAsia"/>
              </w:rPr>
              <w:t>以有效生生互动打造磁性课堂</w:t>
            </w:r>
          </w:p>
        </w:tc>
        <w:tc>
          <w:tcPr>
            <w:tcW w:w="2126" w:type="dxa"/>
            <w:vAlign w:val="center"/>
          </w:tcPr>
          <w:p>
            <w:pPr>
              <w:jc w:val="center"/>
            </w:pPr>
            <w:r>
              <w:rPr>
                <w:rFonts w:hint="eastAsia"/>
              </w:rPr>
              <w:t>2</w:t>
            </w:r>
            <w:r>
              <w:t>017</w:t>
            </w:r>
            <w:r>
              <w:rPr>
                <w:rFonts w:hint="eastAsia"/>
              </w:rPr>
              <w:t>年5月8日</w:t>
            </w:r>
          </w:p>
        </w:tc>
        <w:tc>
          <w:tcPr>
            <w:tcW w:w="2914" w:type="dxa"/>
            <w:vAlign w:val="center"/>
          </w:tcPr>
          <w:p>
            <w:pPr>
              <w:jc w:val="center"/>
            </w:pPr>
            <w:r>
              <w:rPr>
                <w:rFonts w:hint="eastAsia"/>
              </w:rPr>
              <w:t>江桥新优质联盟“以有效生生互动打造磁性课堂”语文项目研究活动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restart"/>
            <w:vAlign w:val="center"/>
          </w:tcPr>
          <w:p>
            <w:pPr>
              <w:jc w:val="center"/>
            </w:pPr>
            <w:r>
              <w:rPr>
                <w:rFonts w:hint="eastAsia"/>
              </w:rPr>
              <w:t>数学</w:t>
            </w:r>
          </w:p>
        </w:tc>
        <w:tc>
          <w:tcPr>
            <w:tcW w:w="2410" w:type="dxa"/>
            <w:vMerge w:val="restart"/>
            <w:vAlign w:val="center"/>
          </w:tcPr>
          <w:p>
            <w:pPr>
              <w:jc w:val="center"/>
            </w:pPr>
            <w:r>
              <w:rPr>
                <w:rFonts w:hint="eastAsia"/>
              </w:rPr>
              <w:t>基于互联网、大数据下的教与学的改变</w:t>
            </w:r>
          </w:p>
        </w:tc>
        <w:tc>
          <w:tcPr>
            <w:tcW w:w="2126" w:type="dxa"/>
            <w:vAlign w:val="center"/>
          </w:tcPr>
          <w:p>
            <w:pPr>
              <w:jc w:val="center"/>
            </w:pPr>
            <w:r>
              <w:rPr>
                <w:rFonts w:hint="eastAsia"/>
              </w:rPr>
              <w:t>2</w:t>
            </w:r>
            <w:r>
              <w:t>016</w:t>
            </w:r>
            <w:r>
              <w:rPr>
                <w:rFonts w:hint="eastAsia"/>
              </w:rPr>
              <w:t>年1</w:t>
            </w:r>
            <w:r>
              <w:t>0</w:t>
            </w:r>
            <w:r>
              <w:rPr>
                <w:rFonts w:hint="eastAsia"/>
              </w:rPr>
              <w:t>月2</w:t>
            </w:r>
            <w:r>
              <w:t>7</w:t>
            </w:r>
            <w:r>
              <w:rPr>
                <w:rFonts w:hint="eastAsia"/>
              </w:rPr>
              <w:t>日</w:t>
            </w:r>
          </w:p>
        </w:tc>
        <w:tc>
          <w:tcPr>
            <w:tcW w:w="2914" w:type="dxa"/>
            <w:vAlign w:val="center"/>
          </w:tcPr>
          <w:p>
            <w:pPr>
              <w:jc w:val="center"/>
            </w:pPr>
            <w:r>
              <w:rPr>
                <w:rFonts w:hint="eastAsia"/>
              </w:rPr>
              <w:t>“结合课堂观察研究对话，立足数学理解落实育人”市级展示活动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846" w:type="dxa"/>
            <w:vMerge w:val="continue"/>
            <w:vAlign w:val="center"/>
          </w:tcPr>
          <w:p>
            <w:pPr>
              <w:jc w:val="center"/>
            </w:pPr>
          </w:p>
        </w:tc>
        <w:tc>
          <w:tcPr>
            <w:tcW w:w="2410" w:type="dxa"/>
            <w:vMerge w:val="continue"/>
            <w:vAlign w:val="center"/>
          </w:tcPr>
          <w:p>
            <w:pPr>
              <w:jc w:val="center"/>
            </w:pPr>
          </w:p>
        </w:tc>
        <w:tc>
          <w:tcPr>
            <w:tcW w:w="2126" w:type="dxa"/>
            <w:vAlign w:val="center"/>
          </w:tcPr>
          <w:p>
            <w:pPr>
              <w:jc w:val="center"/>
            </w:pPr>
            <w:r>
              <w:rPr>
                <w:rFonts w:hint="eastAsia"/>
              </w:rPr>
              <w:t>2</w:t>
            </w:r>
            <w:r>
              <w:t>018</w:t>
            </w:r>
            <w:r>
              <w:rPr>
                <w:rFonts w:hint="eastAsia"/>
              </w:rPr>
              <w:t>年3月2</w:t>
            </w:r>
            <w:r>
              <w:t>9</w:t>
            </w:r>
            <w:r>
              <w:rPr>
                <w:rFonts w:hint="eastAsia"/>
              </w:rPr>
              <w:t>日</w:t>
            </w:r>
          </w:p>
        </w:tc>
        <w:tc>
          <w:tcPr>
            <w:tcW w:w="2914" w:type="dxa"/>
            <w:vAlign w:val="center"/>
          </w:tcPr>
          <w:p>
            <w:pPr>
              <w:jc w:val="center"/>
            </w:pPr>
            <w:r>
              <w:rPr>
                <w:rFonts w:hint="eastAsia"/>
              </w:rPr>
              <w:t>江桥学区</w:t>
            </w:r>
            <w:r>
              <w:t>2018年初中组特色项目展示活动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restart"/>
            <w:vAlign w:val="center"/>
          </w:tcPr>
          <w:p>
            <w:pPr>
              <w:jc w:val="center"/>
            </w:pPr>
            <w:r>
              <w:rPr>
                <w:rFonts w:hint="eastAsia"/>
              </w:rPr>
              <w:t>物理</w:t>
            </w:r>
          </w:p>
        </w:tc>
        <w:tc>
          <w:tcPr>
            <w:tcW w:w="2410" w:type="dxa"/>
            <w:vMerge w:val="restart"/>
            <w:vAlign w:val="center"/>
          </w:tcPr>
          <w:p>
            <w:pPr>
              <w:jc w:val="center"/>
            </w:pPr>
            <w:r>
              <w:rPr>
                <w:rFonts w:hint="eastAsia"/>
              </w:rPr>
              <w:t>聚焦学生学习</w:t>
            </w:r>
            <w:r>
              <w:t xml:space="preserve"> 提升思维品质——移动助学改变物理课堂</w:t>
            </w:r>
          </w:p>
        </w:tc>
        <w:tc>
          <w:tcPr>
            <w:tcW w:w="2126" w:type="dxa"/>
            <w:vAlign w:val="center"/>
          </w:tcPr>
          <w:p>
            <w:pPr>
              <w:jc w:val="center"/>
            </w:pPr>
            <w:r>
              <w:rPr>
                <w:rFonts w:hint="eastAsia"/>
              </w:rPr>
              <w:t>2</w:t>
            </w:r>
            <w:r>
              <w:t>016</w:t>
            </w:r>
            <w:r>
              <w:rPr>
                <w:rFonts w:hint="eastAsia"/>
              </w:rPr>
              <w:t>年1</w:t>
            </w:r>
            <w:r>
              <w:t>2</w:t>
            </w:r>
            <w:r>
              <w:rPr>
                <w:rFonts w:hint="eastAsia"/>
              </w:rPr>
              <w:t>月6日</w:t>
            </w:r>
          </w:p>
        </w:tc>
        <w:tc>
          <w:tcPr>
            <w:tcW w:w="2914" w:type="dxa"/>
            <w:vAlign w:val="center"/>
          </w:tcPr>
          <w:p>
            <w:pPr>
              <w:jc w:val="center"/>
            </w:pPr>
            <w:r>
              <w:rPr>
                <w:rFonts w:hint="eastAsia"/>
              </w:rPr>
              <w:t>技术让课程更有磁性——初中物理“移动助学”的探索与实践区级展示活动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846" w:type="dxa"/>
            <w:vMerge w:val="continue"/>
            <w:vAlign w:val="center"/>
          </w:tcPr>
          <w:p>
            <w:pPr>
              <w:jc w:val="center"/>
            </w:pPr>
          </w:p>
        </w:tc>
        <w:tc>
          <w:tcPr>
            <w:tcW w:w="2410" w:type="dxa"/>
            <w:vMerge w:val="continue"/>
            <w:vAlign w:val="center"/>
          </w:tcPr>
          <w:p>
            <w:pPr>
              <w:jc w:val="center"/>
            </w:pPr>
          </w:p>
        </w:tc>
        <w:tc>
          <w:tcPr>
            <w:tcW w:w="2126" w:type="dxa"/>
            <w:vAlign w:val="center"/>
          </w:tcPr>
          <w:p>
            <w:pPr>
              <w:jc w:val="center"/>
            </w:pPr>
            <w:r>
              <w:rPr>
                <w:rFonts w:hint="eastAsia"/>
              </w:rPr>
              <w:t>2</w:t>
            </w:r>
            <w:r>
              <w:t>018</w:t>
            </w:r>
            <w:r>
              <w:rPr>
                <w:rFonts w:hint="eastAsia"/>
              </w:rPr>
              <w:t>年3月2</w:t>
            </w:r>
            <w:r>
              <w:t>9</w:t>
            </w:r>
            <w:r>
              <w:rPr>
                <w:rFonts w:hint="eastAsia"/>
              </w:rPr>
              <w:t>日</w:t>
            </w:r>
          </w:p>
        </w:tc>
        <w:tc>
          <w:tcPr>
            <w:tcW w:w="2914" w:type="dxa"/>
            <w:vAlign w:val="center"/>
          </w:tcPr>
          <w:p>
            <w:pPr>
              <w:jc w:val="center"/>
            </w:pPr>
            <w:r>
              <w:rPr>
                <w:rFonts w:hint="eastAsia"/>
              </w:rPr>
              <w:t>江桥学区</w:t>
            </w:r>
            <w:r>
              <w:t>2018年初中组特色项目展示活动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jc w:val="center"/>
            </w:pPr>
            <w:r>
              <w:rPr>
                <w:rFonts w:hint="eastAsia"/>
              </w:rPr>
              <w:t>英语</w:t>
            </w:r>
          </w:p>
        </w:tc>
        <w:tc>
          <w:tcPr>
            <w:tcW w:w="2410" w:type="dxa"/>
            <w:vAlign w:val="center"/>
          </w:tcPr>
          <w:p>
            <w:pPr>
              <w:jc w:val="center"/>
            </w:pPr>
            <w:r>
              <w:rPr>
                <w:rFonts w:hint="eastAsia"/>
              </w:rPr>
              <w:t>在英语阅读微技能指导中激活学生思维</w:t>
            </w:r>
          </w:p>
        </w:tc>
        <w:tc>
          <w:tcPr>
            <w:tcW w:w="2126" w:type="dxa"/>
            <w:vAlign w:val="center"/>
          </w:tcPr>
          <w:p>
            <w:pPr>
              <w:jc w:val="center"/>
            </w:pPr>
            <w:r>
              <w:rPr>
                <w:rFonts w:hint="eastAsia"/>
              </w:rPr>
              <w:t>2</w:t>
            </w:r>
            <w:r>
              <w:t>017</w:t>
            </w:r>
            <w:r>
              <w:rPr>
                <w:rFonts w:hint="eastAsia"/>
              </w:rPr>
              <w:t>年4月2</w:t>
            </w:r>
            <w:r>
              <w:t>8</w:t>
            </w:r>
            <w:r>
              <w:rPr>
                <w:rFonts w:hint="eastAsia"/>
              </w:rPr>
              <w:t>日</w:t>
            </w:r>
          </w:p>
        </w:tc>
        <w:tc>
          <w:tcPr>
            <w:tcW w:w="2914" w:type="dxa"/>
            <w:vAlign w:val="center"/>
          </w:tcPr>
          <w:p>
            <w:pPr>
              <w:jc w:val="center"/>
            </w:pPr>
            <w:r>
              <w:rPr>
                <w:rFonts w:hint="eastAsia"/>
              </w:rPr>
              <w:t>“磁性课堂助力学生成长”——江桥实验中学新优质联盟与浙江温岭英语骨干教师联合教研活动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846" w:type="dxa"/>
            <w:vAlign w:val="center"/>
          </w:tcPr>
          <w:p>
            <w:pPr>
              <w:jc w:val="center"/>
            </w:pPr>
            <w:r>
              <w:rPr>
                <w:rFonts w:hint="eastAsia"/>
              </w:rPr>
              <w:t>化学</w:t>
            </w:r>
          </w:p>
        </w:tc>
        <w:tc>
          <w:tcPr>
            <w:tcW w:w="2410" w:type="dxa"/>
            <w:vAlign w:val="center"/>
          </w:tcPr>
          <w:p>
            <w:pPr>
              <w:jc w:val="center"/>
            </w:pPr>
            <w:r>
              <w:rPr>
                <w:rFonts w:hint="eastAsia"/>
              </w:rPr>
              <w:t>以实验为中心的磁性课堂</w:t>
            </w:r>
          </w:p>
        </w:tc>
        <w:tc>
          <w:tcPr>
            <w:tcW w:w="2126" w:type="dxa"/>
            <w:vAlign w:val="center"/>
          </w:tcPr>
          <w:p>
            <w:pPr>
              <w:jc w:val="center"/>
            </w:pPr>
            <w:r>
              <w:rPr>
                <w:rFonts w:hint="eastAsia"/>
              </w:rPr>
              <w:t>2</w:t>
            </w:r>
            <w:r>
              <w:t>017</w:t>
            </w:r>
            <w:r>
              <w:rPr>
                <w:rFonts w:hint="eastAsia"/>
              </w:rPr>
              <w:t>年1</w:t>
            </w:r>
            <w:r>
              <w:t>0</w:t>
            </w:r>
            <w:r>
              <w:rPr>
                <w:rFonts w:hint="eastAsia"/>
              </w:rPr>
              <w:t>月2</w:t>
            </w:r>
            <w:r>
              <w:t>6</w:t>
            </w:r>
            <w:r>
              <w:rPr>
                <w:rFonts w:hint="eastAsia"/>
              </w:rPr>
              <w:t>日</w:t>
            </w:r>
          </w:p>
        </w:tc>
        <w:tc>
          <w:tcPr>
            <w:tcW w:w="2914" w:type="dxa"/>
            <w:vAlign w:val="center"/>
          </w:tcPr>
          <w:p>
            <w:pPr>
              <w:jc w:val="center"/>
            </w:pPr>
            <w:r>
              <w:rPr>
                <w:rFonts w:hint="eastAsia"/>
              </w:rPr>
              <w:t>“以实验为中心的磁性课堂”项目研究区级展示活动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jc w:val="center"/>
            </w:pPr>
            <w:r>
              <w:rPr>
                <w:rFonts w:hint="eastAsia"/>
              </w:rPr>
              <w:t>体育</w:t>
            </w:r>
          </w:p>
        </w:tc>
        <w:tc>
          <w:tcPr>
            <w:tcW w:w="2410" w:type="dxa"/>
            <w:vAlign w:val="center"/>
          </w:tcPr>
          <w:p>
            <w:pPr>
              <w:jc w:val="center"/>
            </w:pPr>
            <w:r>
              <w:rPr>
                <w:rFonts w:hint="eastAsia"/>
              </w:rPr>
              <w:t>运用“团队合作-竞争模式”提高学生体育兴趣</w:t>
            </w:r>
          </w:p>
        </w:tc>
        <w:tc>
          <w:tcPr>
            <w:tcW w:w="2126" w:type="dxa"/>
            <w:vAlign w:val="center"/>
          </w:tcPr>
          <w:p>
            <w:pPr>
              <w:jc w:val="center"/>
            </w:pPr>
            <w:r>
              <w:rPr>
                <w:rFonts w:hint="eastAsia"/>
              </w:rPr>
              <w:t>2</w:t>
            </w:r>
            <w:r>
              <w:t>017</w:t>
            </w:r>
            <w:r>
              <w:rPr>
                <w:rFonts w:hint="eastAsia"/>
              </w:rPr>
              <w:t>年1</w:t>
            </w:r>
            <w:r>
              <w:t>0</w:t>
            </w:r>
            <w:r>
              <w:rPr>
                <w:rFonts w:hint="eastAsia"/>
              </w:rPr>
              <w:t>月2</w:t>
            </w:r>
            <w:r>
              <w:t>6</w:t>
            </w:r>
            <w:r>
              <w:rPr>
                <w:rFonts w:hint="eastAsia"/>
              </w:rPr>
              <w:t>日</w:t>
            </w:r>
          </w:p>
        </w:tc>
        <w:tc>
          <w:tcPr>
            <w:tcW w:w="2914" w:type="dxa"/>
            <w:vAlign w:val="center"/>
          </w:tcPr>
          <w:p>
            <w:pPr>
              <w:jc w:val="center"/>
            </w:pPr>
            <w:r>
              <w:rPr>
                <w:rFonts w:hint="eastAsia"/>
              </w:rPr>
              <w:t>运用“团队合作-竞争模式”提高学生体育兴趣项目研究区级展示活动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846" w:type="dxa"/>
            <w:vMerge w:val="restart"/>
            <w:vAlign w:val="center"/>
          </w:tcPr>
          <w:p>
            <w:pPr>
              <w:jc w:val="center"/>
            </w:pPr>
            <w:r>
              <w:rPr>
                <w:rFonts w:hint="eastAsia"/>
              </w:rPr>
              <w:t>艺术</w:t>
            </w:r>
          </w:p>
        </w:tc>
        <w:tc>
          <w:tcPr>
            <w:tcW w:w="2410" w:type="dxa"/>
            <w:vMerge w:val="restart"/>
            <w:vAlign w:val="center"/>
          </w:tcPr>
          <w:p>
            <w:pPr>
              <w:jc w:val="center"/>
            </w:pPr>
            <w:r>
              <w:rPr>
                <w:rFonts w:hint="eastAsia"/>
              </w:rPr>
              <w:t>陶艺磁性课堂的研究</w:t>
            </w:r>
          </w:p>
        </w:tc>
        <w:tc>
          <w:tcPr>
            <w:tcW w:w="2126" w:type="dxa"/>
            <w:vAlign w:val="center"/>
          </w:tcPr>
          <w:p>
            <w:pPr>
              <w:jc w:val="center"/>
            </w:pPr>
            <w:r>
              <w:rPr>
                <w:rFonts w:hint="eastAsia"/>
              </w:rPr>
              <w:t>2</w:t>
            </w:r>
            <w:r>
              <w:t>017</w:t>
            </w:r>
            <w:r>
              <w:rPr>
                <w:rFonts w:hint="eastAsia"/>
              </w:rPr>
              <w:t>年1</w:t>
            </w:r>
            <w:r>
              <w:t>0</w:t>
            </w:r>
            <w:r>
              <w:rPr>
                <w:rFonts w:hint="eastAsia"/>
              </w:rPr>
              <w:t>月</w:t>
            </w:r>
          </w:p>
        </w:tc>
        <w:tc>
          <w:tcPr>
            <w:tcW w:w="2914" w:type="dxa"/>
            <w:vAlign w:val="center"/>
          </w:tcPr>
          <w:p>
            <w:pPr>
              <w:jc w:val="center"/>
            </w:pPr>
            <w:r>
              <w:rPr>
                <w:rFonts w:hint="eastAsia"/>
              </w:rPr>
              <w:t>第二</w:t>
            </w:r>
            <w:r>
              <w:rPr>
                <w:rFonts w:hint="eastAsia"/>
                <w:lang w:eastAsia="zh-CN"/>
              </w:rPr>
              <w:t>届</w:t>
            </w:r>
            <w:r>
              <w:rPr>
                <w:rFonts w:hint="eastAsia"/>
              </w:rPr>
              <w:t>全国品质课程研讨</w:t>
            </w:r>
            <w:r>
              <w:rPr>
                <w:rFonts w:hint="eastAsia"/>
                <w:lang w:eastAsia="zh-CN"/>
              </w:rPr>
              <w:t>会</w:t>
            </w:r>
            <w:r>
              <w:rPr>
                <w:rFonts w:hint="eastAsia"/>
              </w:rPr>
              <w:t>展示活动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846" w:type="dxa"/>
            <w:vMerge w:val="continue"/>
            <w:vAlign w:val="center"/>
          </w:tcPr>
          <w:p/>
        </w:tc>
        <w:tc>
          <w:tcPr>
            <w:tcW w:w="2410" w:type="dxa"/>
            <w:vMerge w:val="continue"/>
            <w:vAlign w:val="center"/>
          </w:tcPr>
          <w:p>
            <w:pPr>
              <w:jc w:val="center"/>
            </w:pPr>
          </w:p>
        </w:tc>
        <w:tc>
          <w:tcPr>
            <w:tcW w:w="2126" w:type="dxa"/>
            <w:vAlign w:val="center"/>
          </w:tcPr>
          <w:p>
            <w:pPr>
              <w:jc w:val="center"/>
            </w:pPr>
            <w:r>
              <w:rPr>
                <w:rFonts w:hint="eastAsia"/>
              </w:rPr>
              <w:t>2</w:t>
            </w:r>
            <w:r>
              <w:t>018</w:t>
            </w:r>
            <w:r>
              <w:rPr>
                <w:rFonts w:hint="eastAsia"/>
              </w:rPr>
              <w:t>年3月2</w:t>
            </w:r>
            <w:r>
              <w:t>9</w:t>
            </w:r>
            <w:r>
              <w:rPr>
                <w:rFonts w:hint="eastAsia"/>
              </w:rPr>
              <w:t>日</w:t>
            </w:r>
          </w:p>
        </w:tc>
        <w:tc>
          <w:tcPr>
            <w:tcW w:w="2914" w:type="dxa"/>
            <w:vAlign w:val="center"/>
          </w:tcPr>
          <w:p>
            <w:pPr>
              <w:jc w:val="center"/>
            </w:pPr>
            <w:r>
              <w:rPr>
                <w:rFonts w:hint="eastAsia"/>
              </w:rPr>
              <w:t>江桥学区</w:t>
            </w:r>
            <w:r>
              <w:t>2018年初中组特色项目展示活动</w:t>
            </w:r>
          </w:p>
        </w:tc>
      </w:tr>
    </w:tbl>
    <w:p>
      <w:pPr>
        <w:spacing w:line="360" w:lineRule="auto"/>
        <w:rPr>
          <w:color w:val="0000FF"/>
        </w:rPr>
      </w:pPr>
    </w:p>
    <w:p>
      <w:pPr>
        <w:spacing w:line="360" w:lineRule="auto"/>
        <w:ind w:firstLine="420" w:firstLineChars="200"/>
        <w:rPr>
          <w:bCs/>
        </w:rPr>
      </w:pPr>
      <w:r>
        <w:rPr>
          <w:bCs/>
        </w:rPr>
        <w:t>2017年11月22日和12月5日，嘉定区首届品质教育学术节初中英语和物理学科专场在</w:t>
      </w:r>
      <w:r>
        <w:rPr>
          <w:rFonts w:hint="eastAsia"/>
          <w:bCs/>
        </w:rPr>
        <w:t>我校</w:t>
      </w:r>
      <w:r>
        <w:rPr>
          <w:bCs/>
        </w:rPr>
        <w:t>举行。两</w:t>
      </w:r>
      <w:r>
        <w:rPr>
          <w:rFonts w:hint="eastAsia"/>
          <w:bCs/>
        </w:rPr>
        <w:t>个</w:t>
      </w:r>
      <w:r>
        <w:rPr>
          <w:bCs/>
        </w:rPr>
        <w:t>活动分别围绕子项目研究</w:t>
      </w:r>
      <w:r>
        <w:rPr>
          <w:rFonts w:hint="eastAsia"/>
          <w:bCs/>
        </w:rPr>
        <w:t>主题</w:t>
      </w:r>
      <w:r>
        <w:rPr>
          <w:bCs/>
        </w:rPr>
        <w:t>“在英语阅读微技能指导中激活学生的思维”和“移动助学改变物理课堂”，以课堂展示、微论坛</w:t>
      </w:r>
      <w:r>
        <w:rPr>
          <w:rFonts w:hint="eastAsia"/>
          <w:bCs/>
        </w:rPr>
        <w:t>（讲座）</w:t>
      </w:r>
      <w:r>
        <w:rPr>
          <w:bCs/>
        </w:rPr>
        <w:t>和专家点评</w:t>
      </w:r>
      <w:r>
        <w:rPr>
          <w:rFonts w:hint="eastAsia"/>
          <w:bCs/>
        </w:rPr>
        <w:t>的</w:t>
      </w:r>
      <w:r>
        <w:rPr>
          <w:bCs/>
        </w:rPr>
        <w:t>形式</w:t>
      </w:r>
      <w:r>
        <w:rPr>
          <w:rFonts w:hint="eastAsia"/>
          <w:bCs/>
        </w:rPr>
        <w:t>展示了项目</w:t>
      </w:r>
      <w:r>
        <w:rPr>
          <w:bCs/>
        </w:rPr>
        <w:t>研究的阶段性成果。</w:t>
      </w:r>
    </w:p>
    <w:p>
      <w:pPr>
        <w:spacing w:line="360" w:lineRule="auto"/>
        <w:ind w:firstLine="420" w:firstLineChars="200"/>
        <w:rPr>
          <w:bCs/>
        </w:rPr>
      </w:pPr>
      <w:r>
        <w:rPr>
          <w:rFonts w:hint="eastAsia"/>
          <w:bCs/>
        </w:rPr>
        <w:t>2018年11月13、14日举行了“聚焦中考改革新政，深化磁性课堂建设”江桥实验中学新优质联盟骨干教师教学展示活动，来自联盟内5所学校5门学科的骨干教师展示了10堂有品质的课，推动</w:t>
      </w:r>
      <w:r>
        <w:rPr>
          <w:bCs/>
        </w:rPr>
        <w:t>磁性课堂研究</w:t>
      </w:r>
      <w:r>
        <w:rPr>
          <w:rFonts w:hint="eastAsia"/>
          <w:bCs/>
        </w:rPr>
        <w:t>走向深入</w:t>
      </w:r>
      <w:r>
        <w:rPr>
          <w:bCs/>
        </w:rPr>
        <w:t>。</w:t>
      </w:r>
    </w:p>
    <w:p>
      <w:pPr>
        <w:spacing w:line="360" w:lineRule="auto"/>
        <w:rPr>
          <w:b/>
        </w:rPr>
      </w:pPr>
      <w:r>
        <w:rPr>
          <w:rFonts w:hint="eastAsia"/>
          <w:b/>
        </w:rPr>
        <w:t>3</w:t>
      </w:r>
      <w:r>
        <w:rPr>
          <w:b/>
        </w:rPr>
        <w:t xml:space="preserve">. </w:t>
      </w:r>
      <w:r>
        <w:rPr>
          <w:rFonts w:hint="eastAsia"/>
          <w:b/>
        </w:rPr>
        <w:t>开展课题研究，教学科研融合</w:t>
      </w:r>
    </w:p>
    <w:p>
      <w:pPr>
        <w:spacing w:line="360" w:lineRule="auto"/>
        <w:ind w:firstLine="420" w:firstLineChars="200"/>
        <w:rPr>
          <w:color w:val="auto"/>
        </w:rPr>
      </w:pPr>
      <w:r>
        <w:rPr>
          <w:rFonts w:hint="eastAsia"/>
          <w:kern w:val="0"/>
        </w:rPr>
        <w:t>围绕着磁性课堂项目，学校开展了相关课题研究。</w:t>
      </w:r>
      <w:r>
        <w:rPr>
          <w:rFonts w:hint="eastAsia"/>
        </w:rPr>
        <w:t>由王建梅校长领衔的区级重点课题《新优质学校品质课程整体设计的实践与研究》的核心内容之一就是对磁性课堂的研究；2</w:t>
      </w:r>
      <w:r>
        <w:t>018</w:t>
      </w:r>
      <w:r>
        <w:rPr>
          <w:rFonts w:hint="eastAsia"/>
        </w:rPr>
        <w:t>年，由沈志雄副校长领衔的《互联网、大数据下的教与学</w:t>
      </w:r>
      <w:r>
        <w:t>——</w:t>
      </w:r>
      <w:r>
        <w:rPr>
          <w:rFonts w:hint="eastAsia"/>
        </w:rPr>
        <w:t>课堂即时评价》被立项为市级课题，在区域重点课题《聚焦学生学习，提升课堂品质》引领下学校申报的子课题《磁性课堂</w:t>
      </w:r>
      <w:r>
        <w:rPr>
          <w:rFonts w:hint="eastAsia"/>
          <w:lang w:eastAsia="zh-CN"/>
        </w:rPr>
        <w:t>：</w:t>
      </w:r>
      <w:r>
        <w:rPr>
          <w:rFonts w:hint="eastAsia"/>
        </w:rPr>
        <w:t>富有吸引力的</w:t>
      </w:r>
      <w:r>
        <w:rPr>
          <w:rFonts w:hint="eastAsia"/>
          <w:color w:val="auto"/>
        </w:rPr>
        <w:t>课堂</w:t>
      </w:r>
      <w:r>
        <w:rPr>
          <w:rFonts w:hint="eastAsia"/>
          <w:color w:val="auto"/>
          <w:lang w:eastAsia="zh-CN"/>
        </w:rPr>
        <w:t>创建研究</w:t>
      </w:r>
      <w:r>
        <w:rPr>
          <w:rFonts w:hint="eastAsia"/>
        </w:rPr>
        <w:t>》被确定为区级重点课题。</w:t>
      </w:r>
      <w:r>
        <w:rPr>
          <w:rFonts w:hint="eastAsia"/>
          <w:color w:val="auto"/>
        </w:rPr>
        <w:t>此外，围绕学校磁性课堂研究，教师个人也积极申报小课题，形成了一定数量的小课题群。</w:t>
      </w:r>
    </w:p>
    <w:p>
      <w:pPr>
        <w:spacing w:line="360" w:lineRule="auto"/>
        <w:ind w:firstLine="420" w:firstLineChars="200"/>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“磁性课堂：富有吸引力的课堂创建——语言表达的研究”小课题群立项课题</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851"/>
        <w:gridCol w:w="4819"/>
        <w:gridCol w:w="992"/>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704" w:type="dxa"/>
            <w:shd w:val="clear" w:color="auto" w:fill="B4C6E7" w:themeFill="accent1" w:themeFillTint="66"/>
            <w:vAlign w:val="center"/>
          </w:tcPr>
          <w:p>
            <w:pPr>
              <w:jc w:val="center"/>
            </w:pPr>
            <w:r>
              <w:rPr>
                <w:rFonts w:hint="eastAsia"/>
              </w:rPr>
              <w:t>编号</w:t>
            </w:r>
          </w:p>
        </w:tc>
        <w:tc>
          <w:tcPr>
            <w:tcW w:w="851" w:type="dxa"/>
            <w:shd w:val="clear" w:color="auto" w:fill="B4C6E7" w:themeFill="accent1" w:themeFillTint="66"/>
            <w:vAlign w:val="center"/>
          </w:tcPr>
          <w:p>
            <w:pPr>
              <w:jc w:val="center"/>
            </w:pPr>
            <w:r>
              <w:rPr>
                <w:rFonts w:hint="eastAsia"/>
              </w:rPr>
              <w:t>姓名</w:t>
            </w:r>
          </w:p>
        </w:tc>
        <w:tc>
          <w:tcPr>
            <w:tcW w:w="4819" w:type="dxa"/>
            <w:shd w:val="clear" w:color="auto" w:fill="B4C6E7" w:themeFill="accent1" w:themeFillTint="66"/>
            <w:vAlign w:val="center"/>
          </w:tcPr>
          <w:p>
            <w:pPr>
              <w:jc w:val="center"/>
            </w:pPr>
            <w:r>
              <w:rPr>
                <w:rFonts w:hint="eastAsia"/>
              </w:rPr>
              <w:t>课题名称</w:t>
            </w:r>
          </w:p>
        </w:tc>
        <w:tc>
          <w:tcPr>
            <w:tcW w:w="992" w:type="dxa"/>
            <w:shd w:val="clear" w:color="auto" w:fill="B4C6E7" w:themeFill="accent1" w:themeFillTint="66"/>
            <w:vAlign w:val="center"/>
          </w:tcPr>
          <w:p>
            <w:pPr>
              <w:jc w:val="center"/>
            </w:pPr>
            <w:r>
              <w:rPr>
                <w:rFonts w:hint="eastAsia"/>
              </w:rPr>
              <w:t>立项</w:t>
            </w:r>
          </w:p>
        </w:tc>
        <w:tc>
          <w:tcPr>
            <w:tcW w:w="976" w:type="dxa"/>
            <w:shd w:val="clear" w:color="auto" w:fill="B4C6E7" w:themeFill="accent1" w:themeFillTint="66"/>
            <w:vAlign w:val="center"/>
          </w:tcPr>
          <w:p>
            <w:pPr>
              <w:jc w:val="center"/>
            </w:pPr>
            <w:r>
              <w:rPr>
                <w:rFonts w:hint="eastAsia"/>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704" w:type="dxa"/>
            <w:vAlign w:val="center"/>
          </w:tcPr>
          <w:p>
            <w:pPr>
              <w:jc w:val="center"/>
            </w:pPr>
            <w:r>
              <w:rPr>
                <w:rFonts w:hint="eastAsia"/>
              </w:rPr>
              <w:t>1</w:t>
            </w:r>
          </w:p>
        </w:tc>
        <w:tc>
          <w:tcPr>
            <w:tcW w:w="851" w:type="dxa"/>
            <w:vAlign w:val="center"/>
          </w:tcPr>
          <w:p>
            <w:pPr>
              <w:jc w:val="center"/>
            </w:pPr>
            <w:r>
              <w:rPr>
                <w:rFonts w:hint="eastAsia"/>
              </w:rPr>
              <w:t>周二梅</w:t>
            </w:r>
          </w:p>
        </w:tc>
        <w:tc>
          <w:tcPr>
            <w:tcW w:w="4819" w:type="dxa"/>
            <w:vAlign w:val="center"/>
          </w:tcPr>
          <w:p>
            <w:pPr>
              <w:jc w:val="left"/>
            </w:pPr>
            <w:r>
              <w:rPr>
                <w:rFonts w:hint="eastAsia"/>
              </w:rPr>
              <w:t>语文激趣式课堂导入之研究</w:t>
            </w:r>
          </w:p>
        </w:tc>
        <w:tc>
          <w:tcPr>
            <w:tcW w:w="992" w:type="dxa"/>
            <w:vAlign w:val="center"/>
          </w:tcPr>
          <w:p>
            <w:pPr>
              <w:jc w:val="center"/>
            </w:pPr>
            <w:r>
              <w:rPr>
                <w:rFonts w:hint="eastAsia"/>
              </w:rPr>
              <w:t>2018.10</w:t>
            </w:r>
          </w:p>
        </w:tc>
        <w:tc>
          <w:tcPr>
            <w:tcW w:w="976" w:type="dxa"/>
            <w:vAlign w:val="center"/>
          </w:tcPr>
          <w:p>
            <w:pPr>
              <w:jc w:val="center"/>
            </w:pPr>
            <w:r>
              <w:rPr>
                <w:rFonts w:hint="eastAsia"/>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04" w:type="dxa"/>
            <w:vAlign w:val="center"/>
          </w:tcPr>
          <w:p>
            <w:pPr>
              <w:jc w:val="center"/>
            </w:pPr>
            <w:r>
              <w:rPr>
                <w:rFonts w:hint="eastAsia"/>
              </w:rPr>
              <w:t>2</w:t>
            </w:r>
          </w:p>
        </w:tc>
        <w:tc>
          <w:tcPr>
            <w:tcW w:w="851" w:type="dxa"/>
            <w:vAlign w:val="center"/>
          </w:tcPr>
          <w:p>
            <w:pPr>
              <w:jc w:val="center"/>
            </w:pPr>
            <w:r>
              <w:rPr>
                <w:rFonts w:hint="eastAsia"/>
              </w:rPr>
              <w:t>刘妍</w:t>
            </w:r>
          </w:p>
        </w:tc>
        <w:tc>
          <w:tcPr>
            <w:tcW w:w="4819" w:type="dxa"/>
            <w:vAlign w:val="center"/>
          </w:tcPr>
          <w:p>
            <w:pPr>
              <w:jc w:val="left"/>
            </w:pPr>
            <w:r>
              <w:rPr>
                <w:rFonts w:hint="eastAsia"/>
              </w:rPr>
              <w:t>英语课堂中“规范的语言 修饰的美”的研究</w:t>
            </w:r>
          </w:p>
        </w:tc>
        <w:tc>
          <w:tcPr>
            <w:tcW w:w="992" w:type="dxa"/>
            <w:vAlign w:val="center"/>
          </w:tcPr>
          <w:p>
            <w:pPr>
              <w:jc w:val="center"/>
            </w:pPr>
            <w:r>
              <w:rPr>
                <w:rFonts w:hint="eastAsia"/>
              </w:rPr>
              <w:t>2018.10</w:t>
            </w:r>
          </w:p>
        </w:tc>
        <w:tc>
          <w:tcPr>
            <w:tcW w:w="976" w:type="dxa"/>
            <w:vAlign w:val="center"/>
          </w:tcPr>
          <w:p>
            <w:pPr>
              <w:jc w:val="center"/>
            </w:pPr>
            <w:r>
              <w:rPr>
                <w:rFonts w:hint="eastAsia"/>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04" w:type="dxa"/>
            <w:vAlign w:val="center"/>
          </w:tcPr>
          <w:p>
            <w:pPr>
              <w:jc w:val="center"/>
            </w:pPr>
            <w:r>
              <w:rPr>
                <w:rFonts w:hint="eastAsia"/>
              </w:rPr>
              <w:t>3</w:t>
            </w:r>
          </w:p>
        </w:tc>
        <w:tc>
          <w:tcPr>
            <w:tcW w:w="851" w:type="dxa"/>
            <w:vAlign w:val="center"/>
          </w:tcPr>
          <w:p>
            <w:pPr>
              <w:jc w:val="center"/>
            </w:pPr>
            <w:r>
              <w:rPr>
                <w:rFonts w:hint="eastAsia"/>
              </w:rPr>
              <w:t>许文君</w:t>
            </w:r>
          </w:p>
        </w:tc>
        <w:tc>
          <w:tcPr>
            <w:tcW w:w="4819" w:type="dxa"/>
            <w:vAlign w:val="center"/>
          </w:tcPr>
          <w:p>
            <w:pPr>
              <w:jc w:val="left"/>
            </w:pPr>
            <w:r>
              <w:rPr>
                <w:rFonts w:hint="eastAsia"/>
              </w:rPr>
              <w:t>课堂活动设计中听说技能的整合研究</w:t>
            </w:r>
          </w:p>
        </w:tc>
        <w:tc>
          <w:tcPr>
            <w:tcW w:w="992" w:type="dxa"/>
            <w:vAlign w:val="center"/>
          </w:tcPr>
          <w:p>
            <w:pPr>
              <w:jc w:val="center"/>
            </w:pPr>
            <w:r>
              <w:rPr>
                <w:rFonts w:hint="eastAsia"/>
              </w:rPr>
              <w:t>2018.10</w:t>
            </w:r>
          </w:p>
        </w:tc>
        <w:tc>
          <w:tcPr>
            <w:tcW w:w="976" w:type="dxa"/>
            <w:vAlign w:val="center"/>
          </w:tcPr>
          <w:p>
            <w:pPr>
              <w:jc w:val="center"/>
            </w:pPr>
            <w:r>
              <w:rPr>
                <w:rFonts w:hint="eastAsia"/>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04" w:type="dxa"/>
            <w:vAlign w:val="center"/>
          </w:tcPr>
          <w:p>
            <w:pPr>
              <w:jc w:val="center"/>
            </w:pPr>
            <w:r>
              <w:rPr>
                <w:rFonts w:hint="eastAsia"/>
              </w:rPr>
              <w:t>4</w:t>
            </w:r>
          </w:p>
        </w:tc>
        <w:tc>
          <w:tcPr>
            <w:tcW w:w="851" w:type="dxa"/>
            <w:vAlign w:val="center"/>
          </w:tcPr>
          <w:p>
            <w:pPr>
              <w:jc w:val="center"/>
            </w:pPr>
            <w:r>
              <w:rPr>
                <w:rFonts w:hint="eastAsia"/>
              </w:rPr>
              <w:t>蔡新新</w:t>
            </w:r>
          </w:p>
        </w:tc>
        <w:tc>
          <w:tcPr>
            <w:tcW w:w="4819" w:type="dxa"/>
            <w:vAlign w:val="center"/>
          </w:tcPr>
          <w:p>
            <w:pPr>
              <w:jc w:val="left"/>
            </w:pPr>
            <w:r>
              <w:rPr>
                <w:rFonts w:hint="eastAsia"/>
              </w:rPr>
              <w:t>语文课堂教学中设问与追问的研究</w:t>
            </w:r>
          </w:p>
        </w:tc>
        <w:tc>
          <w:tcPr>
            <w:tcW w:w="992" w:type="dxa"/>
            <w:vAlign w:val="center"/>
          </w:tcPr>
          <w:p>
            <w:pPr>
              <w:jc w:val="center"/>
            </w:pPr>
            <w:r>
              <w:rPr>
                <w:rFonts w:hint="eastAsia"/>
              </w:rPr>
              <w:t>2018.10</w:t>
            </w:r>
          </w:p>
        </w:tc>
        <w:tc>
          <w:tcPr>
            <w:tcW w:w="976" w:type="dxa"/>
            <w:vAlign w:val="center"/>
          </w:tcPr>
          <w:p>
            <w:pPr>
              <w:jc w:val="center"/>
            </w:pPr>
            <w:r>
              <w:rPr>
                <w:rFonts w:hint="eastAsia"/>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04" w:type="dxa"/>
            <w:vAlign w:val="center"/>
          </w:tcPr>
          <w:p>
            <w:pPr>
              <w:jc w:val="center"/>
            </w:pPr>
            <w:r>
              <w:rPr>
                <w:rFonts w:hint="eastAsia"/>
              </w:rPr>
              <w:t>5</w:t>
            </w:r>
          </w:p>
        </w:tc>
        <w:tc>
          <w:tcPr>
            <w:tcW w:w="851" w:type="dxa"/>
            <w:vAlign w:val="center"/>
          </w:tcPr>
          <w:p>
            <w:pPr>
              <w:jc w:val="center"/>
            </w:pPr>
            <w:r>
              <w:rPr>
                <w:rFonts w:hint="eastAsia"/>
              </w:rPr>
              <w:t>苏少瑞</w:t>
            </w:r>
          </w:p>
        </w:tc>
        <w:tc>
          <w:tcPr>
            <w:tcW w:w="4819" w:type="dxa"/>
            <w:vAlign w:val="center"/>
          </w:tcPr>
          <w:p>
            <w:pPr>
              <w:jc w:val="left"/>
            </w:pPr>
            <w:r>
              <w:rPr>
                <w:rFonts w:hint="eastAsia"/>
              </w:rPr>
              <w:t>语文课堂语言表达中“停顿”技巧应用的研究</w:t>
            </w:r>
          </w:p>
        </w:tc>
        <w:tc>
          <w:tcPr>
            <w:tcW w:w="992" w:type="dxa"/>
            <w:vAlign w:val="center"/>
          </w:tcPr>
          <w:p>
            <w:pPr>
              <w:jc w:val="center"/>
            </w:pPr>
            <w:r>
              <w:rPr>
                <w:rFonts w:hint="eastAsia"/>
              </w:rPr>
              <w:t>2018.10</w:t>
            </w:r>
          </w:p>
        </w:tc>
        <w:tc>
          <w:tcPr>
            <w:tcW w:w="976" w:type="dxa"/>
            <w:vAlign w:val="center"/>
          </w:tcPr>
          <w:p>
            <w:pPr>
              <w:jc w:val="center"/>
            </w:pPr>
            <w:r>
              <w:rPr>
                <w:rFonts w:hint="eastAsia"/>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pPr>
            <w:r>
              <w:rPr>
                <w:rFonts w:hint="eastAsia"/>
              </w:rPr>
              <w:t>6</w:t>
            </w:r>
          </w:p>
        </w:tc>
        <w:tc>
          <w:tcPr>
            <w:tcW w:w="851" w:type="dxa"/>
            <w:vAlign w:val="center"/>
          </w:tcPr>
          <w:p>
            <w:pPr>
              <w:jc w:val="center"/>
            </w:pPr>
            <w:r>
              <w:rPr>
                <w:rFonts w:hint="eastAsia"/>
              </w:rPr>
              <w:t>沈海莲</w:t>
            </w:r>
          </w:p>
        </w:tc>
        <w:tc>
          <w:tcPr>
            <w:tcW w:w="4819" w:type="dxa"/>
            <w:vAlign w:val="center"/>
          </w:tcPr>
          <w:p>
            <w:pPr>
              <w:jc w:val="left"/>
            </w:pPr>
            <w:r>
              <w:rPr>
                <w:rFonts w:hint="eastAsia"/>
              </w:rPr>
              <w:t>叙事见人—磁性语言在历史课堂上的运用研究</w:t>
            </w:r>
          </w:p>
        </w:tc>
        <w:tc>
          <w:tcPr>
            <w:tcW w:w="992" w:type="dxa"/>
            <w:vAlign w:val="center"/>
          </w:tcPr>
          <w:p>
            <w:pPr>
              <w:jc w:val="center"/>
            </w:pPr>
            <w:r>
              <w:rPr>
                <w:rFonts w:hint="eastAsia"/>
              </w:rPr>
              <w:t>2018.10</w:t>
            </w:r>
          </w:p>
        </w:tc>
        <w:tc>
          <w:tcPr>
            <w:tcW w:w="976" w:type="dxa"/>
            <w:vAlign w:val="center"/>
          </w:tcPr>
          <w:p>
            <w:pPr>
              <w:jc w:val="center"/>
            </w:pPr>
            <w:r>
              <w:rPr>
                <w:rFonts w:hint="eastAsia"/>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hint="eastAsia" w:eastAsiaTheme="minorEastAsia"/>
                <w:lang w:val="en-US" w:eastAsia="zh-CN"/>
              </w:rPr>
            </w:pPr>
            <w:r>
              <w:rPr>
                <w:rFonts w:hint="eastAsia"/>
                <w:lang w:val="en-US" w:eastAsia="zh-CN"/>
              </w:rPr>
              <w:t>7</w:t>
            </w:r>
          </w:p>
        </w:tc>
        <w:tc>
          <w:tcPr>
            <w:tcW w:w="851" w:type="dxa"/>
            <w:vAlign w:val="center"/>
          </w:tcPr>
          <w:p>
            <w:pPr>
              <w:jc w:val="center"/>
            </w:pPr>
            <w:r>
              <w:rPr>
                <w:rFonts w:hint="eastAsia"/>
              </w:rPr>
              <w:t>陈冲</w:t>
            </w:r>
          </w:p>
        </w:tc>
        <w:tc>
          <w:tcPr>
            <w:tcW w:w="4819" w:type="dxa"/>
            <w:vAlign w:val="center"/>
          </w:tcPr>
          <w:p>
            <w:pPr>
              <w:jc w:val="left"/>
            </w:pPr>
            <w:r>
              <w:rPr>
                <w:rFonts w:hint="eastAsia"/>
              </w:rPr>
              <w:t>能有效吸引学生注意力的语言表达方式案例研究</w:t>
            </w:r>
          </w:p>
        </w:tc>
        <w:tc>
          <w:tcPr>
            <w:tcW w:w="992" w:type="dxa"/>
            <w:vAlign w:val="center"/>
          </w:tcPr>
          <w:p>
            <w:pPr>
              <w:jc w:val="center"/>
            </w:pPr>
            <w:r>
              <w:rPr>
                <w:rFonts w:hint="eastAsia"/>
              </w:rPr>
              <w:t>2018.10</w:t>
            </w:r>
          </w:p>
        </w:tc>
        <w:tc>
          <w:tcPr>
            <w:tcW w:w="976" w:type="dxa"/>
            <w:vAlign w:val="center"/>
          </w:tcPr>
          <w:p>
            <w:pPr>
              <w:jc w:val="center"/>
            </w:pPr>
            <w:r>
              <w:rPr>
                <w:rFonts w:hint="eastAsia"/>
              </w:rPr>
              <w:t>2019.06</w:t>
            </w:r>
          </w:p>
        </w:tc>
      </w:tr>
    </w:tbl>
    <w:p>
      <w:pPr>
        <w:widowControl/>
        <w:shd w:val="clear" w:color="auto" w:fill="FFFFFF"/>
        <w:spacing w:line="360" w:lineRule="auto"/>
        <w:ind w:firstLine="420" w:firstLineChars="200"/>
        <w:jc w:val="left"/>
        <w:rPr>
          <w:rFonts w:ascii="微软雅黑" w:hAnsi="微软雅黑" w:eastAsia="微软雅黑" w:cs="宋体"/>
          <w:color w:val="333333"/>
          <w:kern w:val="0"/>
          <w:szCs w:val="21"/>
        </w:rPr>
      </w:pPr>
      <w:r>
        <w:rPr>
          <w:rFonts w:hint="eastAsia" w:ascii="微软雅黑" w:hAnsi="微软雅黑" w:eastAsia="微软雅黑" w:cs="宋体"/>
          <w:color w:val="333333"/>
          <w:kern w:val="0"/>
          <w:szCs w:val="21"/>
        </w:rPr>
        <w:t>“磁性课堂：富有吸引力的课堂创建——学生学习体验的研究”小课题立项课题</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849"/>
        <w:gridCol w:w="4822"/>
        <w:gridCol w:w="971"/>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03" w:type="dxa"/>
            <w:shd w:val="clear" w:color="auto" w:fill="B4C6E7" w:themeFill="accent1" w:themeFillTint="66"/>
            <w:vAlign w:val="center"/>
          </w:tcPr>
          <w:p>
            <w:pPr>
              <w:jc w:val="center"/>
            </w:pPr>
            <w:r>
              <w:rPr>
                <w:rFonts w:hint="eastAsia"/>
              </w:rPr>
              <w:t>编号</w:t>
            </w:r>
          </w:p>
        </w:tc>
        <w:tc>
          <w:tcPr>
            <w:tcW w:w="849" w:type="dxa"/>
            <w:shd w:val="clear" w:color="auto" w:fill="B4C6E7" w:themeFill="accent1" w:themeFillTint="66"/>
            <w:vAlign w:val="center"/>
          </w:tcPr>
          <w:p>
            <w:pPr>
              <w:jc w:val="center"/>
            </w:pPr>
            <w:r>
              <w:rPr>
                <w:rFonts w:hint="eastAsia"/>
              </w:rPr>
              <w:t>姓名</w:t>
            </w:r>
          </w:p>
        </w:tc>
        <w:tc>
          <w:tcPr>
            <w:tcW w:w="4822" w:type="dxa"/>
            <w:shd w:val="clear" w:color="auto" w:fill="B4C6E7" w:themeFill="accent1" w:themeFillTint="66"/>
            <w:vAlign w:val="center"/>
          </w:tcPr>
          <w:p>
            <w:pPr>
              <w:jc w:val="center"/>
            </w:pPr>
            <w:r>
              <w:rPr>
                <w:rFonts w:hint="eastAsia"/>
              </w:rPr>
              <w:t>课题名称</w:t>
            </w:r>
          </w:p>
        </w:tc>
        <w:tc>
          <w:tcPr>
            <w:tcW w:w="971" w:type="dxa"/>
            <w:shd w:val="clear" w:color="auto" w:fill="B4C6E7" w:themeFill="accent1" w:themeFillTint="66"/>
            <w:vAlign w:val="center"/>
          </w:tcPr>
          <w:p>
            <w:pPr>
              <w:jc w:val="center"/>
            </w:pPr>
            <w:r>
              <w:rPr>
                <w:rFonts w:hint="eastAsia"/>
              </w:rPr>
              <w:t>立项</w:t>
            </w:r>
          </w:p>
        </w:tc>
        <w:tc>
          <w:tcPr>
            <w:tcW w:w="951" w:type="dxa"/>
            <w:shd w:val="clear" w:color="auto" w:fill="B4C6E7" w:themeFill="accent1" w:themeFillTint="66"/>
            <w:vAlign w:val="center"/>
          </w:tcPr>
          <w:p>
            <w:pPr>
              <w:jc w:val="center"/>
            </w:pPr>
            <w:r>
              <w:rPr>
                <w:rFonts w:hint="eastAsia"/>
              </w:rPr>
              <w:t>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3" w:type="dxa"/>
            <w:vAlign w:val="center"/>
          </w:tcPr>
          <w:p>
            <w:pPr>
              <w:jc w:val="center"/>
              <w:rPr>
                <w:rFonts w:eastAsiaTheme="minorHAnsi"/>
                <w:szCs w:val="21"/>
              </w:rPr>
            </w:pPr>
            <w:r>
              <w:rPr>
                <w:rFonts w:hint="eastAsia" w:cs="宋体" w:eastAsiaTheme="minorHAnsi"/>
                <w:color w:val="333333"/>
                <w:kern w:val="0"/>
                <w:szCs w:val="21"/>
              </w:rPr>
              <w:t>1</w:t>
            </w:r>
          </w:p>
        </w:tc>
        <w:tc>
          <w:tcPr>
            <w:tcW w:w="849" w:type="dxa"/>
            <w:vAlign w:val="center"/>
          </w:tcPr>
          <w:p>
            <w:pPr>
              <w:jc w:val="center"/>
              <w:rPr>
                <w:rFonts w:eastAsiaTheme="minorHAnsi"/>
                <w:szCs w:val="21"/>
              </w:rPr>
            </w:pPr>
            <w:r>
              <w:rPr>
                <w:rFonts w:hint="eastAsia" w:cs="宋体" w:eastAsiaTheme="minorHAnsi"/>
                <w:color w:val="333333"/>
                <w:kern w:val="0"/>
                <w:szCs w:val="21"/>
              </w:rPr>
              <w:t>罗宇婧</w:t>
            </w:r>
          </w:p>
        </w:tc>
        <w:tc>
          <w:tcPr>
            <w:tcW w:w="4822" w:type="dxa"/>
            <w:vAlign w:val="center"/>
          </w:tcPr>
          <w:p>
            <w:pPr>
              <w:jc w:val="left"/>
              <w:rPr>
                <w:rFonts w:eastAsiaTheme="minorHAnsi"/>
                <w:szCs w:val="21"/>
              </w:rPr>
            </w:pPr>
            <w:r>
              <w:rPr>
                <w:rFonts w:hint="eastAsia" w:cs="宋体" w:eastAsiaTheme="minorHAnsi"/>
                <w:color w:val="333333"/>
                <w:spacing w:val="15"/>
                <w:kern w:val="0"/>
                <w:szCs w:val="21"/>
              </w:rPr>
              <w:t>错题中学生学习体验的分析归类及后续纠错方法跟进研究</w:t>
            </w:r>
          </w:p>
        </w:tc>
        <w:tc>
          <w:tcPr>
            <w:tcW w:w="971" w:type="dxa"/>
            <w:vAlign w:val="center"/>
          </w:tcPr>
          <w:p>
            <w:pPr>
              <w:jc w:val="center"/>
              <w:rPr>
                <w:szCs w:val="21"/>
              </w:rPr>
            </w:pPr>
            <w:r>
              <w:rPr>
                <w:rFonts w:hint="eastAsia" w:ascii="宋体" w:hAnsi="宋体" w:eastAsia="宋体" w:cs="宋体"/>
                <w:color w:val="333333"/>
                <w:kern w:val="0"/>
                <w:szCs w:val="21"/>
                <w:shd w:val="clear" w:color="auto" w:fill="FFFFFF"/>
              </w:rPr>
              <w:t>2018.10</w:t>
            </w:r>
          </w:p>
        </w:tc>
        <w:tc>
          <w:tcPr>
            <w:tcW w:w="951" w:type="dxa"/>
            <w:vAlign w:val="center"/>
          </w:tcPr>
          <w:p>
            <w:pPr>
              <w:jc w:val="center"/>
              <w:rPr>
                <w:szCs w:val="21"/>
              </w:rPr>
            </w:pPr>
            <w:r>
              <w:rPr>
                <w:rFonts w:hint="eastAsia" w:ascii="宋体" w:hAnsi="宋体" w:eastAsia="宋体" w:cs="宋体"/>
                <w:color w:val="333333"/>
                <w:kern w:val="0"/>
                <w:szCs w:val="21"/>
                <w:shd w:val="clear" w:color="auto" w:fill="FFFFFF"/>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703" w:type="dxa"/>
            <w:vAlign w:val="center"/>
          </w:tcPr>
          <w:p>
            <w:pPr>
              <w:jc w:val="center"/>
              <w:rPr>
                <w:rFonts w:eastAsiaTheme="minorHAnsi"/>
                <w:szCs w:val="21"/>
              </w:rPr>
            </w:pPr>
            <w:r>
              <w:rPr>
                <w:rFonts w:hint="eastAsia" w:cs="宋体" w:eastAsiaTheme="minorHAnsi"/>
                <w:color w:val="333333"/>
                <w:kern w:val="0"/>
                <w:szCs w:val="21"/>
              </w:rPr>
              <w:t>2</w:t>
            </w:r>
          </w:p>
        </w:tc>
        <w:tc>
          <w:tcPr>
            <w:tcW w:w="849" w:type="dxa"/>
            <w:vAlign w:val="center"/>
          </w:tcPr>
          <w:p>
            <w:pPr>
              <w:jc w:val="center"/>
              <w:rPr>
                <w:rFonts w:eastAsiaTheme="minorHAnsi"/>
                <w:szCs w:val="21"/>
              </w:rPr>
            </w:pPr>
            <w:r>
              <w:rPr>
                <w:rFonts w:hint="eastAsia" w:cs="宋体" w:eastAsiaTheme="minorHAnsi"/>
                <w:color w:val="333333"/>
                <w:kern w:val="0"/>
                <w:szCs w:val="21"/>
              </w:rPr>
              <w:t>李萍</w:t>
            </w:r>
          </w:p>
        </w:tc>
        <w:tc>
          <w:tcPr>
            <w:tcW w:w="4822" w:type="dxa"/>
            <w:vAlign w:val="center"/>
          </w:tcPr>
          <w:p>
            <w:pPr>
              <w:jc w:val="left"/>
              <w:rPr>
                <w:rFonts w:eastAsiaTheme="minorHAnsi"/>
                <w:szCs w:val="21"/>
              </w:rPr>
            </w:pPr>
            <w:r>
              <w:rPr>
                <w:rFonts w:hint="eastAsia" w:cs="宋体" w:eastAsiaTheme="minorHAnsi"/>
                <w:color w:val="333333"/>
                <w:spacing w:val="15"/>
                <w:kern w:val="0"/>
                <w:szCs w:val="21"/>
              </w:rPr>
              <w:t>语言转换中的学习体验研究</w:t>
            </w:r>
          </w:p>
        </w:tc>
        <w:tc>
          <w:tcPr>
            <w:tcW w:w="971" w:type="dxa"/>
            <w:vAlign w:val="center"/>
          </w:tcPr>
          <w:p>
            <w:pPr>
              <w:jc w:val="center"/>
              <w:rPr>
                <w:szCs w:val="21"/>
              </w:rPr>
            </w:pPr>
            <w:r>
              <w:rPr>
                <w:rFonts w:hint="eastAsia" w:ascii="宋体" w:hAnsi="宋体" w:eastAsia="宋体" w:cs="宋体"/>
                <w:color w:val="333333"/>
                <w:kern w:val="0"/>
                <w:szCs w:val="21"/>
                <w:shd w:val="clear" w:color="auto" w:fill="FFFFFF"/>
              </w:rPr>
              <w:t>2018.10</w:t>
            </w:r>
          </w:p>
        </w:tc>
        <w:tc>
          <w:tcPr>
            <w:tcW w:w="951" w:type="dxa"/>
            <w:vAlign w:val="center"/>
          </w:tcPr>
          <w:p>
            <w:pPr>
              <w:jc w:val="center"/>
              <w:rPr>
                <w:szCs w:val="21"/>
              </w:rPr>
            </w:pPr>
            <w:r>
              <w:rPr>
                <w:rFonts w:hint="eastAsia" w:ascii="宋体" w:hAnsi="宋体" w:eastAsia="宋体" w:cs="宋体"/>
                <w:color w:val="333333"/>
                <w:kern w:val="0"/>
                <w:szCs w:val="21"/>
                <w:shd w:val="clear" w:color="auto" w:fill="FFFFFF"/>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03" w:type="dxa"/>
            <w:vAlign w:val="center"/>
          </w:tcPr>
          <w:p>
            <w:pPr>
              <w:jc w:val="center"/>
              <w:rPr>
                <w:rFonts w:eastAsiaTheme="minorHAnsi"/>
                <w:szCs w:val="21"/>
              </w:rPr>
            </w:pPr>
            <w:r>
              <w:rPr>
                <w:rFonts w:hint="eastAsia" w:cs="宋体" w:eastAsiaTheme="minorHAnsi"/>
                <w:color w:val="333333"/>
                <w:kern w:val="0"/>
                <w:szCs w:val="21"/>
              </w:rPr>
              <w:t>3</w:t>
            </w:r>
          </w:p>
        </w:tc>
        <w:tc>
          <w:tcPr>
            <w:tcW w:w="849" w:type="dxa"/>
            <w:vAlign w:val="center"/>
          </w:tcPr>
          <w:p>
            <w:pPr>
              <w:jc w:val="center"/>
              <w:rPr>
                <w:rFonts w:eastAsiaTheme="minorHAnsi"/>
                <w:szCs w:val="21"/>
              </w:rPr>
            </w:pPr>
            <w:r>
              <w:rPr>
                <w:rFonts w:hint="eastAsia" w:cs="宋体" w:eastAsiaTheme="minorHAnsi"/>
                <w:color w:val="333333"/>
                <w:kern w:val="0"/>
                <w:szCs w:val="21"/>
              </w:rPr>
              <w:t>翟春香</w:t>
            </w:r>
          </w:p>
        </w:tc>
        <w:tc>
          <w:tcPr>
            <w:tcW w:w="4822" w:type="dxa"/>
            <w:vAlign w:val="center"/>
          </w:tcPr>
          <w:p>
            <w:pPr>
              <w:jc w:val="left"/>
              <w:rPr>
                <w:rFonts w:eastAsiaTheme="minorHAnsi"/>
                <w:szCs w:val="21"/>
              </w:rPr>
            </w:pPr>
            <w:r>
              <w:rPr>
                <w:rFonts w:hint="eastAsia" w:cs="宋体" w:eastAsiaTheme="minorHAnsi"/>
                <w:color w:val="333333"/>
                <w:kern w:val="0"/>
                <w:szCs w:val="21"/>
              </w:rPr>
              <w:t>基于学生体验的数学问题情境创设的研究</w:t>
            </w:r>
          </w:p>
        </w:tc>
        <w:tc>
          <w:tcPr>
            <w:tcW w:w="971" w:type="dxa"/>
            <w:vAlign w:val="center"/>
          </w:tcPr>
          <w:p>
            <w:pPr>
              <w:jc w:val="center"/>
              <w:rPr>
                <w:szCs w:val="21"/>
              </w:rPr>
            </w:pPr>
            <w:r>
              <w:rPr>
                <w:rFonts w:hint="eastAsia" w:ascii="宋体" w:hAnsi="宋体" w:eastAsia="宋体" w:cs="宋体"/>
                <w:color w:val="333333"/>
                <w:kern w:val="0"/>
                <w:szCs w:val="21"/>
                <w:shd w:val="clear" w:color="auto" w:fill="FFFFFF"/>
              </w:rPr>
              <w:t>2018.10</w:t>
            </w:r>
          </w:p>
        </w:tc>
        <w:tc>
          <w:tcPr>
            <w:tcW w:w="951" w:type="dxa"/>
            <w:vAlign w:val="center"/>
          </w:tcPr>
          <w:p>
            <w:pPr>
              <w:jc w:val="center"/>
              <w:rPr>
                <w:szCs w:val="21"/>
              </w:rPr>
            </w:pPr>
            <w:r>
              <w:rPr>
                <w:rFonts w:hint="eastAsia" w:ascii="宋体" w:hAnsi="宋体" w:eastAsia="宋体" w:cs="宋体"/>
                <w:color w:val="333333"/>
                <w:kern w:val="0"/>
                <w:szCs w:val="21"/>
                <w:shd w:val="clear" w:color="auto" w:fill="FFFFFF"/>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03" w:type="dxa"/>
            <w:vAlign w:val="center"/>
          </w:tcPr>
          <w:p>
            <w:pPr>
              <w:jc w:val="center"/>
              <w:rPr>
                <w:rFonts w:hint="eastAsia" w:eastAsiaTheme="minorHAnsi"/>
                <w:szCs w:val="21"/>
                <w:lang w:val="en-US" w:eastAsia="zh-CN"/>
              </w:rPr>
            </w:pPr>
            <w:r>
              <w:rPr>
                <w:rFonts w:hint="eastAsia" w:eastAsiaTheme="minorHAnsi"/>
                <w:szCs w:val="21"/>
                <w:lang w:val="en-US" w:eastAsia="zh-CN"/>
              </w:rPr>
              <w:t>4</w:t>
            </w:r>
          </w:p>
        </w:tc>
        <w:tc>
          <w:tcPr>
            <w:tcW w:w="849" w:type="dxa"/>
            <w:vAlign w:val="center"/>
          </w:tcPr>
          <w:p>
            <w:pPr>
              <w:jc w:val="center"/>
              <w:rPr>
                <w:rFonts w:eastAsiaTheme="minorHAnsi"/>
                <w:szCs w:val="21"/>
              </w:rPr>
            </w:pPr>
            <w:r>
              <w:rPr>
                <w:rFonts w:hint="eastAsia" w:cs="宋体" w:eastAsiaTheme="minorHAnsi"/>
                <w:color w:val="333333"/>
                <w:kern w:val="0"/>
                <w:szCs w:val="21"/>
              </w:rPr>
              <w:t>朱琳</w:t>
            </w:r>
          </w:p>
        </w:tc>
        <w:tc>
          <w:tcPr>
            <w:tcW w:w="4822" w:type="dxa"/>
            <w:vAlign w:val="center"/>
          </w:tcPr>
          <w:p>
            <w:pPr>
              <w:jc w:val="left"/>
              <w:rPr>
                <w:rFonts w:eastAsiaTheme="minorHAnsi"/>
                <w:szCs w:val="21"/>
              </w:rPr>
            </w:pPr>
            <w:r>
              <w:rPr>
                <w:rFonts w:hint="eastAsia" w:cs="宋体" w:eastAsiaTheme="minorHAnsi"/>
                <w:color w:val="333333"/>
                <w:kern w:val="0"/>
                <w:szCs w:val="21"/>
              </w:rPr>
              <w:t>学生的学习体验和地理课堂活动设计的案例研究</w:t>
            </w:r>
          </w:p>
        </w:tc>
        <w:tc>
          <w:tcPr>
            <w:tcW w:w="971" w:type="dxa"/>
            <w:vAlign w:val="center"/>
          </w:tcPr>
          <w:p>
            <w:pPr>
              <w:jc w:val="center"/>
              <w:rPr>
                <w:szCs w:val="21"/>
              </w:rPr>
            </w:pPr>
            <w:r>
              <w:rPr>
                <w:rFonts w:hint="eastAsia" w:ascii="宋体" w:hAnsi="宋体" w:eastAsia="宋体" w:cs="宋体"/>
                <w:color w:val="333333"/>
                <w:kern w:val="0"/>
                <w:szCs w:val="21"/>
                <w:shd w:val="clear" w:color="auto" w:fill="FFFFFF"/>
              </w:rPr>
              <w:t>2018.10</w:t>
            </w:r>
          </w:p>
        </w:tc>
        <w:tc>
          <w:tcPr>
            <w:tcW w:w="951" w:type="dxa"/>
            <w:vAlign w:val="center"/>
          </w:tcPr>
          <w:p>
            <w:pPr>
              <w:jc w:val="center"/>
              <w:rPr>
                <w:szCs w:val="21"/>
              </w:rPr>
            </w:pPr>
            <w:r>
              <w:rPr>
                <w:rFonts w:hint="eastAsia" w:ascii="宋体" w:hAnsi="宋体" w:eastAsia="宋体" w:cs="宋体"/>
                <w:color w:val="333333"/>
                <w:kern w:val="0"/>
                <w:szCs w:val="21"/>
                <w:shd w:val="clear" w:color="auto" w:fill="FFFFFF"/>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03" w:type="dxa"/>
            <w:vAlign w:val="center"/>
          </w:tcPr>
          <w:p>
            <w:pPr>
              <w:jc w:val="center"/>
              <w:rPr>
                <w:rFonts w:hint="eastAsia" w:eastAsiaTheme="minorHAnsi"/>
                <w:szCs w:val="21"/>
                <w:lang w:val="en-US" w:eastAsia="zh-CN"/>
              </w:rPr>
            </w:pPr>
            <w:r>
              <w:rPr>
                <w:rFonts w:hint="eastAsia" w:eastAsiaTheme="minorHAnsi"/>
                <w:szCs w:val="21"/>
                <w:lang w:val="en-US" w:eastAsia="zh-CN"/>
              </w:rPr>
              <w:t>5</w:t>
            </w:r>
          </w:p>
        </w:tc>
        <w:tc>
          <w:tcPr>
            <w:tcW w:w="849" w:type="dxa"/>
            <w:vAlign w:val="center"/>
          </w:tcPr>
          <w:p>
            <w:pPr>
              <w:jc w:val="center"/>
              <w:rPr>
                <w:rFonts w:eastAsiaTheme="minorHAnsi"/>
                <w:szCs w:val="21"/>
              </w:rPr>
            </w:pPr>
            <w:r>
              <w:rPr>
                <w:rFonts w:hint="eastAsia" w:cs="宋体" w:eastAsiaTheme="minorHAnsi"/>
                <w:color w:val="333333"/>
                <w:kern w:val="0"/>
                <w:szCs w:val="21"/>
              </w:rPr>
              <w:t>夏丹</w:t>
            </w:r>
          </w:p>
        </w:tc>
        <w:tc>
          <w:tcPr>
            <w:tcW w:w="4822" w:type="dxa"/>
            <w:vAlign w:val="center"/>
          </w:tcPr>
          <w:p>
            <w:pPr>
              <w:jc w:val="left"/>
              <w:rPr>
                <w:rFonts w:eastAsiaTheme="minorHAnsi"/>
                <w:szCs w:val="21"/>
              </w:rPr>
            </w:pPr>
            <w:r>
              <w:rPr>
                <w:rFonts w:hint="eastAsia" w:cs="宋体" w:eastAsiaTheme="minorHAnsi"/>
                <w:color w:val="333333"/>
                <w:spacing w:val="15"/>
                <w:kern w:val="0"/>
                <w:szCs w:val="21"/>
              </w:rPr>
              <w:t>关于“行为体验”中融入信息技术的研究</w:t>
            </w:r>
          </w:p>
        </w:tc>
        <w:tc>
          <w:tcPr>
            <w:tcW w:w="971" w:type="dxa"/>
            <w:vAlign w:val="center"/>
          </w:tcPr>
          <w:p>
            <w:pPr>
              <w:jc w:val="center"/>
              <w:rPr>
                <w:szCs w:val="21"/>
              </w:rPr>
            </w:pPr>
            <w:r>
              <w:rPr>
                <w:rFonts w:hint="eastAsia" w:ascii="宋体" w:hAnsi="宋体" w:eastAsia="宋体" w:cs="宋体"/>
                <w:color w:val="333333"/>
                <w:kern w:val="0"/>
                <w:szCs w:val="21"/>
                <w:shd w:val="clear" w:color="auto" w:fill="FFFFFF"/>
              </w:rPr>
              <w:t>2018.10</w:t>
            </w:r>
          </w:p>
        </w:tc>
        <w:tc>
          <w:tcPr>
            <w:tcW w:w="951" w:type="dxa"/>
            <w:vAlign w:val="center"/>
          </w:tcPr>
          <w:p>
            <w:pPr>
              <w:jc w:val="center"/>
              <w:rPr>
                <w:szCs w:val="21"/>
              </w:rPr>
            </w:pPr>
            <w:r>
              <w:rPr>
                <w:rFonts w:hint="eastAsia" w:ascii="宋体" w:hAnsi="宋体" w:eastAsia="宋体" w:cs="宋体"/>
                <w:color w:val="333333"/>
                <w:kern w:val="0"/>
                <w:szCs w:val="21"/>
                <w:shd w:val="clear" w:color="auto" w:fill="FFFFFF"/>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03" w:type="dxa"/>
            <w:vAlign w:val="center"/>
          </w:tcPr>
          <w:p>
            <w:pPr>
              <w:jc w:val="center"/>
              <w:rPr>
                <w:rFonts w:hint="eastAsia" w:eastAsiaTheme="minorHAnsi"/>
                <w:szCs w:val="21"/>
                <w:lang w:val="en-US" w:eastAsia="zh-CN"/>
              </w:rPr>
            </w:pPr>
            <w:r>
              <w:rPr>
                <w:rFonts w:hint="eastAsia" w:eastAsiaTheme="minorHAnsi"/>
                <w:szCs w:val="21"/>
                <w:lang w:val="en-US" w:eastAsia="zh-CN"/>
              </w:rPr>
              <w:t>6</w:t>
            </w:r>
          </w:p>
        </w:tc>
        <w:tc>
          <w:tcPr>
            <w:tcW w:w="849" w:type="dxa"/>
            <w:vAlign w:val="center"/>
          </w:tcPr>
          <w:p>
            <w:pPr>
              <w:jc w:val="center"/>
              <w:rPr>
                <w:rFonts w:eastAsiaTheme="minorHAnsi"/>
                <w:szCs w:val="21"/>
              </w:rPr>
            </w:pPr>
            <w:r>
              <w:rPr>
                <w:rFonts w:hint="eastAsia" w:cs="宋体" w:eastAsiaTheme="minorHAnsi"/>
                <w:color w:val="333333"/>
                <w:kern w:val="0"/>
                <w:szCs w:val="21"/>
              </w:rPr>
              <w:t>李新新</w:t>
            </w:r>
          </w:p>
        </w:tc>
        <w:tc>
          <w:tcPr>
            <w:tcW w:w="4822" w:type="dxa"/>
            <w:vAlign w:val="center"/>
          </w:tcPr>
          <w:p>
            <w:pPr>
              <w:jc w:val="left"/>
              <w:rPr>
                <w:rFonts w:eastAsiaTheme="minorHAnsi"/>
                <w:szCs w:val="21"/>
              </w:rPr>
            </w:pPr>
            <w:r>
              <w:rPr>
                <w:rFonts w:hint="eastAsia" w:cs="宋体" w:eastAsiaTheme="minorHAnsi"/>
                <w:color w:val="333333"/>
                <w:kern w:val="0"/>
                <w:szCs w:val="21"/>
              </w:rPr>
              <w:t>增强地理课堂磁性魅力</w:t>
            </w:r>
            <w:r>
              <w:rPr>
                <w:rFonts w:hint="eastAsia" w:cs="宋体" w:eastAsiaTheme="minorHAnsi"/>
                <w:color w:val="333333"/>
                <w:kern w:val="0"/>
                <w:szCs w:val="21"/>
                <w:lang w:eastAsia="zh-CN"/>
              </w:rPr>
              <w:t>，</w:t>
            </w:r>
            <w:r>
              <w:rPr>
                <w:rFonts w:hint="eastAsia" w:cs="宋体" w:eastAsiaTheme="minorHAnsi"/>
                <w:color w:val="333333"/>
                <w:kern w:val="0"/>
                <w:szCs w:val="21"/>
              </w:rPr>
              <w:t>巧妙设计地理课堂活动</w:t>
            </w:r>
          </w:p>
        </w:tc>
        <w:tc>
          <w:tcPr>
            <w:tcW w:w="971" w:type="dxa"/>
            <w:vAlign w:val="center"/>
          </w:tcPr>
          <w:p>
            <w:pPr>
              <w:jc w:val="center"/>
              <w:rPr>
                <w:szCs w:val="21"/>
              </w:rPr>
            </w:pPr>
            <w:r>
              <w:rPr>
                <w:rFonts w:hint="eastAsia" w:ascii="宋体" w:hAnsi="宋体" w:eastAsia="宋体" w:cs="宋体"/>
                <w:color w:val="333333"/>
                <w:kern w:val="0"/>
                <w:szCs w:val="21"/>
                <w:shd w:val="clear" w:color="auto" w:fill="FFFFFF"/>
              </w:rPr>
              <w:t>2018.10</w:t>
            </w:r>
          </w:p>
        </w:tc>
        <w:tc>
          <w:tcPr>
            <w:tcW w:w="951" w:type="dxa"/>
            <w:vAlign w:val="center"/>
          </w:tcPr>
          <w:p>
            <w:pPr>
              <w:jc w:val="center"/>
              <w:rPr>
                <w:szCs w:val="21"/>
              </w:rPr>
            </w:pPr>
            <w:r>
              <w:rPr>
                <w:rFonts w:hint="eastAsia" w:ascii="宋体" w:hAnsi="宋体" w:eastAsia="宋体" w:cs="宋体"/>
                <w:color w:val="333333"/>
                <w:kern w:val="0"/>
                <w:szCs w:val="21"/>
                <w:shd w:val="clear" w:color="auto" w:fill="FFFFFF"/>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03" w:type="dxa"/>
            <w:vAlign w:val="center"/>
          </w:tcPr>
          <w:p>
            <w:pPr>
              <w:jc w:val="center"/>
              <w:rPr>
                <w:rFonts w:hint="eastAsia" w:cs="宋体" w:eastAsiaTheme="minorHAnsi"/>
                <w:color w:val="333333"/>
                <w:kern w:val="0"/>
                <w:szCs w:val="21"/>
                <w:lang w:val="en-US" w:eastAsia="zh-CN"/>
              </w:rPr>
            </w:pPr>
            <w:r>
              <w:rPr>
                <w:rFonts w:hint="eastAsia" w:cs="宋体" w:eastAsiaTheme="minorHAnsi"/>
                <w:color w:val="333333"/>
                <w:kern w:val="0"/>
                <w:szCs w:val="21"/>
                <w:lang w:val="en-US" w:eastAsia="zh-CN"/>
              </w:rPr>
              <w:t>7</w:t>
            </w:r>
          </w:p>
        </w:tc>
        <w:tc>
          <w:tcPr>
            <w:tcW w:w="849" w:type="dxa"/>
            <w:vAlign w:val="center"/>
          </w:tcPr>
          <w:p>
            <w:pPr>
              <w:jc w:val="center"/>
              <w:rPr>
                <w:rFonts w:cs="宋体" w:eastAsiaTheme="minorHAnsi"/>
                <w:color w:val="333333"/>
                <w:kern w:val="0"/>
                <w:szCs w:val="21"/>
              </w:rPr>
            </w:pPr>
            <w:r>
              <w:rPr>
                <w:rFonts w:hint="eastAsia" w:cs="宋体" w:eastAsiaTheme="minorHAnsi"/>
                <w:color w:val="333333"/>
                <w:kern w:val="0"/>
                <w:szCs w:val="21"/>
              </w:rPr>
              <w:t>谢长玉</w:t>
            </w:r>
          </w:p>
        </w:tc>
        <w:tc>
          <w:tcPr>
            <w:tcW w:w="4822" w:type="dxa"/>
            <w:vAlign w:val="center"/>
          </w:tcPr>
          <w:p>
            <w:pPr>
              <w:jc w:val="left"/>
              <w:rPr>
                <w:rFonts w:cs="宋体" w:eastAsiaTheme="minorHAnsi"/>
                <w:color w:val="333333"/>
                <w:kern w:val="0"/>
                <w:szCs w:val="21"/>
              </w:rPr>
            </w:pPr>
            <w:r>
              <w:rPr>
                <w:rFonts w:hint="eastAsia" w:cs="宋体" w:eastAsiaTheme="minorHAnsi"/>
                <w:color w:val="333333"/>
                <w:spacing w:val="15"/>
                <w:kern w:val="0"/>
                <w:szCs w:val="21"/>
              </w:rPr>
              <w:t>学生的学习体验和课堂活动设计的课例研究</w:t>
            </w:r>
          </w:p>
        </w:tc>
        <w:tc>
          <w:tcPr>
            <w:tcW w:w="971" w:type="dxa"/>
            <w:vAlign w:val="center"/>
          </w:tcPr>
          <w:p>
            <w:pPr>
              <w:jc w:val="center"/>
              <w:rPr>
                <w:rFonts w:ascii="宋体" w:hAnsi="宋体" w:eastAsia="宋体" w:cs="宋体"/>
                <w:color w:val="333333"/>
                <w:kern w:val="0"/>
                <w:szCs w:val="21"/>
                <w:shd w:val="clear" w:color="auto" w:fill="FFFFFF"/>
              </w:rPr>
            </w:pPr>
            <w:r>
              <w:rPr>
                <w:rFonts w:hint="eastAsia" w:ascii="宋体" w:hAnsi="宋体" w:eastAsia="宋体" w:cs="宋体"/>
                <w:color w:val="333333"/>
                <w:kern w:val="0"/>
                <w:szCs w:val="21"/>
                <w:shd w:val="clear" w:color="auto" w:fill="FFFFFF"/>
              </w:rPr>
              <w:t>2018.10</w:t>
            </w:r>
          </w:p>
        </w:tc>
        <w:tc>
          <w:tcPr>
            <w:tcW w:w="951" w:type="dxa"/>
            <w:vAlign w:val="center"/>
          </w:tcPr>
          <w:p>
            <w:pPr>
              <w:jc w:val="center"/>
              <w:rPr>
                <w:rFonts w:ascii="宋体" w:hAnsi="宋体" w:eastAsia="宋体" w:cs="宋体"/>
                <w:color w:val="333333"/>
                <w:kern w:val="0"/>
                <w:szCs w:val="21"/>
                <w:shd w:val="clear" w:color="auto" w:fill="FFFFFF"/>
              </w:rPr>
            </w:pPr>
            <w:r>
              <w:rPr>
                <w:rFonts w:hint="eastAsia" w:ascii="宋体" w:hAnsi="宋体" w:eastAsia="宋体" w:cs="宋体"/>
                <w:color w:val="333333"/>
                <w:kern w:val="0"/>
                <w:szCs w:val="21"/>
                <w:shd w:val="clear" w:color="auto" w:fill="FFFFFF"/>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03" w:type="dxa"/>
            <w:vAlign w:val="center"/>
          </w:tcPr>
          <w:p>
            <w:pPr>
              <w:jc w:val="center"/>
              <w:rPr>
                <w:rFonts w:hint="eastAsia" w:cs="宋体" w:eastAsiaTheme="minorHAnsi"/>
                <w:color w:val="333333"/>
                <w:kern w:val="0"/>
                <w:szCs w:val="21"/>
                <w:lang w:val="en-US" w:eastAsia="zh-CN"/>
              </w:rPr>
            </w:pPr>
            <w:r>
              <w:rPr>
                <w:rFonts w:hint="eastAsia" w:cs="宋体" w:eastAsiaTheme="minorHAnsi"/>
                <w:color w:val="333333"/>
                <w:kern w:val="0"/>
                <w:szCs w:val="21"/>
                <w:lang w:val="en-US" w:eastAsia="zh-CN"/>
              </w:rPr>
              <w:t>8</w:t>
            </w:r>
          </w:p>
        </w:tc>
        <w:tc>
          <w:tcPr>
            <w:tcW w:w="849" w:type="dxa"/>
            <w:vAlign w:val="center"/>
          </w:tcPr>
          <w:p>
            <w:pPr>
              <w:jc w:val="center"/>
              <w:rPr>
                <w:rFonts w:cs="宋体" w:eastAsiaTheme="minorHAnsi"/>
                <w:color w:val="333333"/>
                <w:kern w:val="0"/>
                <w:szCs w:val="21"/>
              </w:rPr>
            </w:pPr>
            <w:r>
              <w:rPr>
                <w:rFonts w:hint="eastAsia" w:cs="宋体" w:eastAsiaTheme="minorHAnsi"/>
                <w:color w:val="333333"/>
                <w:kern w:val="0"/>
                <w:szCs w:val="21"/>
              </w:rPr>
              <w:t>陈叶清</w:t>
            </w:r>
          </w:p>
        </w:tc>
        <w:tc>
          <w:tcPr>
            <w:tcW w:w="4822" w:type="dxa"/>
            <w:vAlign w:val="center"/>
          </w:tcPr>
          <w:p>
            <w:pPr>
              <w:jc w:val="left"/>
              <w:rPr>
                <w:rFonts w:cs="宋体" w:eastAsiaTheme="minorHAnsi"/>
                <w:color w:val="333333"/>
                <w:spacing w:val="15"/>
                <w:kern w:val="0"/>
                <w:szCs w:val="21"/>
              </w:rPr>
            </w:pPr>
            <w:r>
              <w:rPr>
                <w:rFonts w:hint="eastAsia" w:cs="宋体" w:eastAsiaTheme="minorHAnsi"/>
                <w:color w:val="333333"/>
                <w:kern w:val="0"/>
                <w:szCs w:val="21"/>
              </w:rPr>
              <w:t>物理学科课堂“悬疑体验”(光学部分）的课例研究</w:t>
            </w:r>
          </w:p>
        </w:tc>
        <w:tc>
          <w:tcPr>
            <w:tcW w:w="971" w:type="dxa"/>
            <w:vAlign w:val="center"/>
          </w:tcPr>
          <w:p>
            <w:pPr>
              <w:jc w:val="center"/>
              <w:rPr>
                <w:rFonts w:ascii="宋体" w:hAnsi="宋体" w:eastAsia="宋体" w:cs="宋体"/>
                <w:color w:val="333333"/>
                <w:kern w:val="0"/>
                <w:szCs w:val="21"/>
                <w:shd w:val="clear" w:color="auto" w:fill="FFFFFF"/>
              </w:rPr>
            </w:pPr>
            <w:r>
              <w:rPr>
                <w:rFonts w:hint="eastAsia" w:ascii="宋体" w:hAnsi="宋体" w:eastAsia="宋体" w:cs="宋体"/>
                <w:color w:val="333333"/>
                <w:kern w:val="0"/>
                <w:szCs w:val="21"/>
                <w:shd w:val="clear" w:color="auto" w:fill="FFFFFF"/>
              </w:rPr>
              <w:t>2018.10</w:t>
            </w:r>
          </w:p>
        </w:tc>
        <w:tc>
          <w:tcPr>
            <w:tcW w:w="951" w:type="dxa"/>
            <w:vAlign w:val="center"/>
          </w:tcPr>
          <w:p>
            <w:pPr>
              <w:jc w:val="center"/>
              <w:rPr>
                <w:rFonts w:ascii="宋体" w:hAnsi="宋体" w:eastAsia="宋体" w:cs="宋体"/>
                <w:color w:val="333333"/>
                <w:kern w:val="0"/>
                <w:szCs w:val="21"/>
                <w:shd w:val="clear" w:color="auto" w:fill="FFFFFF"/>
              </w:rPr>
            </w:pPr>
            <w:r>
              <w:rPr>
                <w:rFonts w:hint="eastAsia" w:ascii="宋体" w:hAnsi="宋体" w:eastAsia="宋体" w:cs="宋体"/>
                <w:color w:val="333333"/>
                <w:kern w:val="0"/>
                <w:szCs w:val="21"/>
                <w:shd w:val="clear" w:color="auto" w:fill="FFFFFF"/>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703" w:type="dxa"/>
            <w:vAlign w:val="center"/>
          </w:tcPr>
          <w:p>
            <w:pPr>
              <w:jc w:val="center"/>
              <w:rPr>
                <w:rFonts w:hint="eastAsia" w:cs="宋体" w:eastAsiaTheme="minorHAnsi"/>
                <w:color w:val="333333"/>
                <w:kern w:val="0"/>
                <w:szCs w:val="21"/>
                <w:lang w:val="en-US" w:eastAsia="zh-CN"/>
              </w:rPr>
            </w:pPr>
            <w:r>
              <w:rPr>
                <w:rFonts w:hint="eastAsia" w:cs="宋体" w:eastAsiaTheme="minorHAnsi"/>
                <w:color w:val="333333"/>
                <w:kern w:val="0"/>
                <w:szCs w:val="21"/>
                <w:lang w:val="en-US" w:eastAsia="zh-CN"/>
              </w:rPr>
              <w:t>9</w:t>
            </w:r>
          </w:p>
        </w:tc>
        <w:tc>
          <w:tcPr>
            <w:tcW w:w="849" w:type="dxa"/>
            <w:vAlign w:val="center"/>
          </w:tcPr>
          <w:p>
            <w:pPr>
              <w:jc w:val="center"/>
              <w:rPr>
                <w:rFonts w:cs="宋体" w:eastAsiaTheme="minorHAnsi"/>
                <w:color w:val="333333"/>
                <w:kern w:val="0"/>
                <w:szCs w:val="21"/>
              </w:rPr>
            </w:pPr>
            <w:r>
              <w:rPr>
                <w:rFonts w:hint="eastAsia" w:cs="宋体" w:eastAsiaTheme="minorHAnsi"/>
                <w:color w:val="333333"/>
                <w:kern w:val="0"/>
                <w:szCs w:val="21"/>
              </w:rPr>
              <w:t>余伟存</w:t>
            </w:r>
          </w:p>
        </w:tc>
        <w:tc>
          <w:tcPr>
            <w:tcW w:w="4822" w:type="dxa"/>
            <w:vAlign w:val="center"/>
          </w:tcPr>
          <w:p>
            <w:pPr>
              <w:jc w:val="left"/>
              <w:rPr>
                <w:rFonts w:cs="宋体" w:eastAsiaTheme="minorHAnsi"/>
                <w:color w:val="333333"/>
                <w:spacing w:val="15"/>
                <w:kern w:val="0"/>
                <w:szCs w:val="21"/>
              </w:rPr>
            </w:pPr>
            <w:r>
              <w:rPr>
                <w:rFonts w:hint="eastAsia" w:cs="宋体" w:eastAsiaTheme="minorHAnsi"/>
                <w:color w:val="333333"/>
                <w:kern w:val="0"/>
                <w:szCs w:val="21"/>
              </w:rPr>
              <w:t>物理学科课堂“悬疑体验”(热学部分）的课例研究</w:t>
            </w:r>
          </w:p>
        </w:tc>
        <w:tc>
          <w:tcPr>
            <w:tcW w:w="971" w:type="dxa"/>
            <w:vAlign w:val="center"/>
          </w:tcPr>
          <w:p>
            <w:pPr>
              <w:jc w:val="center"/>
              <w:rPr>
                <w:rFonts w:ascii="宋体" w:hAnsi="宋体" w:eastAsia="宋体" w:cs="宋体"/>
                <w:color w:val="333333"/>
                <w:kern w:val="0"/>
                <w:szCs w:val="21"/>
                <w:shd w:val="clear" w:color="auto" w:fill="FFFFFF"/>
              </w:rPr>
            </w:pPr>
            <w:r>
              <w:rPr>
                <w:rFonts w:hint="eastAsia" w:ascii="宋体" w:hAnsi="宋体" w:eastAsia="宋体" w:cs="宋体"/>
                <w:color w:val="333333"/>
                <w:kern w:val="0"/>
                <w:szCs w:val="21"/>
                <w:shd w:val="clear" w:color="auto" w:fill="FFFFFF"/>
              </w:rPr>
              <w:t>2018.10</w:t>
            </w:r>
          </w:p>
        </w:tc>
        <w:tc>
          <w:tcPr>
            <w:tcW w:w="951" w:type="dxa"/>
            <w:vAlign w:val="center"/>
          </w:tcPr>
          <w:p>
            <w:pPr>
              <w:jc w:val="center"/>
              <w:rPr>
                <w:rFonts w:ascii="宋体" w:hAnsi="宋体" w:eastAsia="宋体" w:cs="宋体"/>
                <w:color w:val="333333"/>
                <w:kern w:val="0"/>
                <w:szCs w:val="21"/>
                <w:shd w:val="clear" w:color="auto" w:fill="FFFFFF"/>
              </w:rPr>
            </w:pPr>
            <w:r>
              <w:rPr>
                <w:rFonts w:hint="eastAsia" w:ascii="宋体" w:hAnsi="宋体" w:eastAsia="宋体" w:cs="宋体"/>
                <w:color w:val="333333"/>
                <w:kern w:val="0"/>
                <w:szCs w:val="21"/>
                <w:shd w:val="clear" w:color="auto" w:fill="FFFFFF"/>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703" w:type="dxa"/>
            <w:vAlign w:val="center"/>
          </w:tcPr>
          <w:p>
            <w:pPr>
              <w:jc w:val="center"/>
              <w:rPr>
                <w:rFonts w:hint="eastAsia" w:cs="宋体" w:eastAsiaTheme="minorHAnsi"/>
                <w:color w:val="333333"/>
                <w:kern w:val="0"/>
                <w:szCs w:val="21"/>
                <w:lang w:val="en-US" w:eastAsia="zh-CN"/>
              </w:rPr>
            </w:pPr>
            <w:r>
              <w:rPr>
                <w:rFonts w:hint="eastAsia" w:cs="宋体" w:eastAsiaTheme="minorHAnsi"/>
                <w:color w:val="333333"/>
                <w:kern w:val="0"/>
                <w:szCs w:val="21"/>
              </w:rPr>
              <w:t>1</w:t>
            </w:r>
            <w:r>
              <w:rPr>
                <w:rFonts w:hint="eastAsia" w:cs="宋体" w:eastAsiaTheme="minorHAnsi"/>
                <w:color w:val="333333"/>
                <w:kern w:val="0"/>
                <w:szCs w:val="21"/>
                <w:lang w:val="en-US" w:eastAsia="zh-CN"/>
              </w:rPr>
              <w:t>0</w:t>
            </w:r>
          </w:p>
        </w:tc>
        <w:tc>
          <w:tcPr>
            <w:tcW w:w="849" w:type="dxa"/>
            <w:vAlign w:val="center"/>
          </w:tcPr>
          <w:p>
            <w:pPr>
              <w:jc w:val="center"/>
              <w:rPr>
                <w:rFonts w:cs="宋体" w:eastAsiaTheme="minorHAnsi"/>
                <w:color w:val="333333"/>
                <w:kern w:val="0"/>
                <w:szCs w:val="21"/>
              </w:rPr>
            </w:pPr>
            <w:r>
              <w:rPr>
                <w:rFonts w:hint="eastAsia" w:cs="宋体" w:eastAsiaTheme="minorHAnsi"/>
                <w:color w:val="333333"/>
                <w:kern w:val="0"/>
                <w:szCs w:val="21"/>
              </w:rPr>
              <w:t>黄丽洁</w:t>
            </w:r>
          </w:p>
        </w:tc>
        <w:tc>
          <w:tcPr>
            <w:tcW w:w="4822" w:type="dxa"/>
            <w:vAlign w:val="center"/>
          </w:tcPr>
          <w:p>
            <w:pPr>
              <w:jc w:val="left"/>
              <w:rPr>
                <w:rFonts w:cs="宋体" w:eastAsiaTheme="minorHAnsi"/>
                <w:color w:val="333333"/>
                <w:spacing w:val="15"/>
                <w:kern w:val="0"/>
                <w:szCs w:val="21"/>
              </w:rPr>
            </w:pPr>
            <w:r>
              <w:rPr>
                <w:rFonts w:hint="eastAsia" w:cs="宋体" w:eastAsiaTheme="minorHAnsi"/>
                <w:color w:val="333333"/>
                <w:kern w:val="0"/>
                <w:szCs w:val="21"/>
              </w:rPr>
              <w:t>物理学科课堂“悬疑体验”(力学部分）的课例研究</w:t>
            </w:r>
          </w:p>
        </w:tc>
        <w:tc>
          <w:tcPr>
            <w:tcW w:w="971" w:type="dxa"/>
            <w:vAlign w:val="center"/>
          </w:tcPr>
          <w:p>
            <w:pPr>
              <w:jc w:val="center"/>
              <w:rPr>
                <w:rFonts w:ascii="宋体" w:hAnsi="宋体" w:eastAsia="宋体" w:cs="宋体"/>
                <w:color w:val="333333"/>
                <w:kern w:val="0"/>
                <w:szCs w:val="21"/>
                <w:shd w:val="clear" w:color="auto" w:fill="FFFFFF"/>
              </w:rPr>
            </w:pPr>
            <w:r>
              <w:rPr>
                <w:rFonts w:hint="eastAsia" w:ascii="宋体" w:hAnsi="宋体" w:eastAsia="宋体" w:cs="宋体"/>
                <w:color w:val="333333"/>
                <w:kern w:val="0"/>
                <w:szCs w:val="21"/>
                <w:shd w:val="clear" w:color="auto" w:fill="FFFFFF"/>
              </w:rPr>
              <w:t>2018.10</w:t>
            </w:r>
          </w:p>
        </w:tc>
        <w:tc>
          <w:tcPr>
            <w:tcW w:w="951" w:type="dxa"/>
            <w:vAlign w:val="center"/>
          </w:tcPr>
          <w:p>
            <w:pPr>
              <w:jc w:val="center"/>
              <w:rPr>
                <w:rFonts w:ascii="宋体" w:hAnsi="宋体" w:eastAsia="宋体" w:cs="宋体"/>
                <w:color w:val="333333"/>
                <w:kern w:val="0"/>
                <w:szCs w:val="21"/>
                <w:shd w:val="clear" w:color="auto" w:fill="FFFFFF"/>
              </w:rPr>
            </w:pPr>
            <w:r>
              <w:rPr>
                <w:rFonts w:hint="eastAsia" w:ascii="宋体" w:hAnsi="宋体" w:eastAsia="宋体" w:cs="宋体"/>
                <w:color w:val="333333"/>
                <w:kern w:val="0"/>
                <w:szCs w:val="21"/>
                <w:shd w:val="clear" w:color="auto" w:fill="FFFFFF"/>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03" w:type="dxa"/>
            <w:vAlign w:val="center"/>
          </w:tcPr>
          <w:p>
            <w:pPr>
              <w:jc w:val="center"/>
              <w:rPr>
                <w:rFonts w:hint="eastAsia" w:cs="宋体" w:eastAsiaTheme="minorHAnsi"/>
                <w:color w:val="333333"/>
                <w:kern w:val="0"/>
                <w:szCs w:val="21"/>
                <w:lang w:val="en-US" w:eastAsia="zh-CN"/>
              </w:rPr>
            </w:pPr>
            <w:r>
              <w:rPr>
                <w:rFonts w:hint="eastAsia" w:cs="宋体" w:eastAsiaTheme="minorHAnsi"/>
                <w:color w:val="333333"/>
                <w:kern w:val="0"/>
                <w:szCs w:val="21"/>
              </w:rPr>
              <w:t>1</w:t>
            </w:r>
            <w:r>
              <w:rPr>
                <w:rFonts w:hint="eastAsia" w:cs="宋体" w:eastAsiaTheme="minorHAnsi"/>
                <w:color w:val="333333"/>
                <w:kern w:val="0"/>
                <w:szCs w:val="21"/>
                <w:lang w:val="en-US" w:eastAsia="zh-CN"/>
              </w:rPr>
              <w:t>1</w:t>
            </w:r>
          </w:p>
        </w:tc>
        <w:tc>
          <w:tcPr>
            <w:tcW w:w="849" w:type="dxa"/>
            <w:vAlign w:val="center"/>
          </w:tcPr>
          <w:p>
            <w:pPr>
              <w:jc w:val="center"/>
              <w:rPr>
                <w:rFonts w:cs="宋体" w:eastAsiaTheme="minorHAnsi"/>
                <w:color w:val="333333"/>
                <w:kern w:val="0"/>
                <w:szCs w:val="21"/>
              </w:rPr>
            </w:pPr>
            <w:r>
              <w:rPr>
                <w:rFonts w:hint="eastAsia" w:cs="宋体" w:eastAsiaTheme="minorHAnsi"/>
                <w:color w:val="333333"/>
                <w:kern w:val="0"/>
                <w:szCs w:val="21"/>
              </w:rPr>
              <w:t>刘苹</w:t>
            </w:r>
          </w:p>
        </w:tc>
        <w:tc>
          <w:tcPr>
            <w:tcW w:w="4822" w:type="dxa"/>
            <w:vAlign w:val="center"/>
          </w:tcPr>
          <w:p>
            <w:pPr>
              <w:jc w:val="left"/>
              <w:rPr>
                <w:rFonts w:cs="宋体" w:eastAsiaTheme="minorHAnsi"/>
                <w:color w:val="333333"/>
                <w:spacing w:val="15"/>
                <w:kern w:val="0"/>
                <w:szCs w:val="21"/>
              </w:rPr>
            </w:pPr>
            <w:r>
              <w:rPr>
                <w:rFonts w:hint="eastAsia" w:cs="宋体" w:eastAsiaTheme="minorHAnsi"/>
                <w:color w:val="333333"/>
                <w:kern w:val="0"/>
                <w:szCs w:val="21"/>
              </w:rPr>
              <w:t>物理学科课堂“悬疑体验”(电学部分）的课例研究</w:t>
            </w:r>
          </w:p>
        </w:tc>
        <w:tc>
          <w:tcPr>
            <w:tcW w:w="971" w:type="dxa"/>
            <w:vAlign w:val="center"/>
          </w:tcPr>
          <w:p>
            <w:pPr>
              <w:jc w:val="center"/>
              <w:rPr>
                <w:rFonts w:ascii="宋体" w:hAnsi="宋体" w:eastAsia="宋体" w:cs="宋体"/>
                <w:color w:val="333333"/>
                <w:kern w:val="0"/>
                <w:szCs w:val="21"/>
                <w:shd w:val="clear" w:color="auto" w:fill="FFFFFF"/>
              </w:rPr>
            </w:pPr>
            <w:r>
              <w:rPr>
                <w:rFonts w:hint="eastAsia" w:ascii="宋体" w:hAnsi="宋体" w:eastAsia="宋体" w:cs="宋体"/>
                <w:color w:val="333333"/>
                <w:kern w:val="0"/>
                <w:szCs w:val="21"/>
                <w:shd w:val="clear" w:color="auto" w:fill="FFFFFF"/>
              </w:rPr>
              <w:t>2018.10</w:t>
            </w:r>
          </w:p>
        </w:tc>
        <w:tc>
          <w:tcPr>
            <w:tcW w:w="951" w:type="dxa"/>
            <w:vAlign w:val="center"/>
          </w:tcPr>
          <w:p>
            <w:pPr>
              <w:jc w:val="center"/>
              <w:rPr>
                <w:rFonts w:ascii="宋体" w:hAnsi="宋体" w:eastAsia="宋体" w:cs="宋体"/>
                <w:color w:val="333333"/>
                <w:kern w:val="0"/>
                <w:szCs w:val="21"/>
                <w:shd w:val="clear" w:color="auto" w:fill="FFFFFF"/>
              </w:rPr>
            </w:pPr>
            <w:r>
              <w:rPr>
                <w:rFonts w:hint="eastAsia" w:ascii="宋体" w:hAnsi="宋体" w:eastAsia="宋体" w:cs="宋体"/>
                <w:color w:val="333333"/>
                <w:kern w:val="0"/>
                <w:szCs w:val="21"/>
                <w:shd w:val="clear" w:color="auto" w:fill="FFFFFF"/>
              </w:rPr>
              <w:t>2019.06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703" w:type="dxa"/>
            <w:vAlign w:val="center"/>
          </w:tcPr>
          <w:p>
            <w:pPr>
              <w:jc w:val="center"/>
              <w:rPr>
                <w:rFonts w:hint="eastAsia" w:cs="宋体" w:eastAsiaTheme="minorHAnsi"/>
                <w:color w:val="333333"/>
                <w:kern w:val="0"/>
                <w:szCs w:val="21"/>
                <w:lang w:val="en-US" w:eastAsia="zh-CN"/>
              </w:rPr>
            </w:pPr>
            <w:r>
              <w:rPr>
                <w:rFonts w:hint="eastAsia" w:cs="宋体" w:eastAsiaTheme="minorHAnsi"/>
                <w:color w:val="333333"/>
                <w:kern w:val="0"/>
                <w:szCs w:val="21"/>
              </w:rPr>
              <w:t>1</w:t>
            </w:r>
            <w:r>
              <w:rPr>
                <w:rFonts w:hint="eastAsia" w:cs="宋体" w:eastAsiaTheme="minorHAnsi"/>
                <w:color w:val="333333"/>
                <w:kern w:val="0"/>
                <w:szCs w:val="21"/>
                <w:lang w:val="en-US" w:eastAsia="zh-CN"/>
              </w:rPr>
              <w:t>2</w:t>
            </w:r>
          </w:p>
        </w:tc>
        <w:tc>
          <w:tcPr>
            <w:tcW w:w="849" w:type="dxa"/>
            <w:vAlign w:val="center"/>
          </w:tcPr>
          <w:p>
            <w:pPr>
              <w:jc w:val="center"/>
              <w:rPr>
                <w:rFonts w:cs="宋体" w:eastAsiaTheme="minorHAnsi"/>
                <w:color w:val="333333"/>
                <w:kern w:val="0"/>
                <w:szCs w:val="21"/>
              </w:rPr>
            </w:pPr>
            <w:r>
              <w:rPr>
                <w:rFonts w:hint="eastAsia" w:cs="宋体" w:eastAsiaTheme="minorHAnsi"/>
                <w:color w:val="333333"/>
                <w:kern w:val="0"/>
                <w:szCs w:val="21"/>
              </w:rPr>
              <w:t>吴连忠</w:t>
            </w:r>
          </w:p>
        </w:tc>
        <w:tc>
          <w:tcPr>
            <w:tcW w:w="4822" w:type="dxa"/>
            <w:vAlign w:val="center"/>
          </w:tcPr>
          <w:p>
            <w:pPr>
              <w:jc w:val="left"/>
              <w:rPr>
                <w:rFonts w:cs="宋体" w:eastAsiaTheme="minorHAnsi"/>
                <w:color w:val="333333"/>
                <w:spacing w:val="15"/>
                <w:kern w:val="0"/>
                <w:szCs w:val="21"/>
              </w:rPr>
            </w:pPr>
            <w:r>
              <w:rPr>
                <w:rFonts w:hint="eastAsia" w:cs="宋体" w:eastAsiaTheme="minorHAnsi"/>
                <w:color w:val="333333"/>
                <w:kern w:val="0"/>
                <w:szCs w:val="21"/>
              </w:rPr>
              <w:t>科学学科学习中“磁性体验”的系统要素研究</w:t>
            </w:r>
          </w:p>
        </w:tc>
        <w:tc>
          <w:tcPr>
            <w:tcW w:w="971" w:type="dxa"/>
            <w:vAlign w:val="center"/>
          </w:tcPr>
          <w:p>
            <w:pPr>
              <w:jc w:val="center"/>
              <w:rPr>
                <w:rFonts w:ascii="宋体" w:hAnsi="宋体" w:eastAsia="宋体" w:cs="宋体"/>
                <w:color w:val="333333"/>
                <w:kern w:val="0"/>
                <w:szCs w:val="21"/>
                <w:shd w:val="clear" w:color="auto" w:fill="FFFFFF"/>
              </w:rPr>
            </w:pPr>
            <w:r>
              <w:rPr>
                <w:rFonts w:hint="eastAsia" w:ascii="宋体" w:hAnsi="宋体" w:eastAsia="宋体" w:cs="宋体"/>
                <w:color w:val="333333"/>
                <w:kern w:val="0"/>
                <w:szCs w:val="21"/>
                <w:shd w:val="clear" w:color="auto" w:fill="FFFFFF"/>
              </w:rPr>
              <w:t>2018.10</w:t>
            </w:r>
          </w:p>
        </w:tc>
        <w:tc>
          <w:tcPr>
            <w:tcW w:w="951" w:type="dxa"/>
            <w:vAlign w:val="center"/>
          </w:tcPr>
          <w:p>
            <w:pPr>
              <w:jc w:val="center"/>
              <w:rPr>
                <w:rFonts w:ascii="宋体" w:hAnsi="宋体" w:eastAsia="宋体" w:cs="宋体"/>
                <w:color w:val="333333"/>
                <w:kern w:val="0"/>
                <w:szCs w:val="21"/>
                <w:shd w:val="clear" w:color="auto" w:fill="FFFFFF"/>
              </w:rPr>
            </w:pPr>
            <w:r>
              <w:rPr>
                <w:rFonts w:hint="eastAsia" w:ascii="宋体" w:hAnsi="宋体" w:eastAsia="宋体" w:cs="宋体"/>
                <w:color w:val="333333"/>
                <w:kern w:val="0"/>
                <w:szCs w:val="21"/>
                <w:shd w:val="clear" w:color="auto" w:fill="FFFFFF"/>
              </w:rPr>
              <w:t>2019.06</w:t>
            </w:r>
          </w:p>
        </w:tc>
      </w:tr>
    </w:tbl>
    <w:p>
      <w:pPr>
        <w:numPr>
          <w:ilvl w:val="0"/>
          <w:numId w:val="5"/>
        </w:numPr>
        <w:spacing w:line="360" w:lineRule="auto"/>
        <w:rPr>
          <w:b/>
          <w:bCs/>
        </w:rPr>
      </w:pPr>
      <w:r>
        <w:rPr>
          <w:rFonts w:hint="eastAsia"/>
          <w:b/>
          <w:bCs/>
        </w:rPr>
        <w:t>研究成效初显，收获阶段成果</w:t>
      </w:r>
    </w:p>
    <w:p>
      <w:pPr>
        <w:ind w:firstLine="420" w:firstLineChars="200"/>
        <w:rPr>
          <w:rFonts w:hint="eastAsia" w:ascii="宋体" w:hAnsi="宋体" w:cs="Arial Unicode MS" w:eastAsiaTheme="minorEastAsia"/>
          <w:kern w:val="0"/>
          <w:szCs w:val="21"/>
          <w:lang w:eastAsia="zh-CN"/>
        </w:rPr>
      </w:pPr>
      <w:r>
        <w:rPr>
          <w:rFonts w:hint="eastAsia"/>
          <w:szCs w:val="21"/>
        </w:rPr>
        <w:t>经过三年的探索和努力，各项目组都取得了不少阶段性成果。各学科形成了符合学科特点和研究方向的“磁性课堂”的标准，并围绕标准制定了“磁性课堂教学评价表”，指导后续的课堂实践；</w:t>
      </w:r>
      <w:r>
        <w:rPr>
          <w:rFonts w:hint="eastAsia"/>
          <w:szCs w:val="21"/>
          <w:lang w:eastAsia="zh-CN"/>
        </w:rPr>
        <w:t>我校</w:t>
      </w:r>
      <w:r>
        <w:rPr>
          <w:rFonts w:hint="eastAsia" w:ascii="宋体" w:hAnsi="宋体" w:eastAsiaTheme="minorEastAsia" w:cstheme="minorBidi"/>
          <w:kern w:val="2"/>
          <w:sz w:val="21"/>
          <w:szCs w:val="21"/>
          <w:lang w:val="en-US" w:eastAsia="zh-CN" w:bidi="ar-SA"/>
        </w:rPr>
        <w:t>多名教师的课堂教学在“一师一优课、一课一名师”评选中被评为部级优课</w:t>
      </w:r>
      <w:r>
        <w:rPr>
          <w:rFonts w:hint="eastAsia" w:ascii="宋体" w:hAnsi="宋体" w:cstheme="minorBidi"/>
          <w:kern w:val="2"/>
          <w:sz w:val="21"/>
          <w:szCs w:val="21"/>
          <w:lang w:val="en-US" w:eastAsia="zh-CN" w:bidi="ar-SA"/>
        </w:rPr>
        <w:t>；</w:t>
      </w:r>
      <w:r>
        <w:rPr>
          <w:rFonts w:hint="eastAsia"/>
          <w:szCs w:val="21"/>
        </w:rPr>
        <w:t>多名教师有关“磁性”课堂研究的教学论文、案例和课例发表于《嘉定教育》等杂志，校内也形成了《教师磁性课堂研究成果汇编》；</w:t>
      </w:r>
      <w:r>
        <w:rPr>
          <w:rFonts w:hint="eastAsia"/>
        </w:rPr>
        <w:t>我校</w:t>
      </w:r>
      <w:r>
        <w:rPr>
          <w:rFonts w:hint="eastAsia" w:ascii="宋体" w:hAnsi="宋体" w:cs="Arial"/>
          <w:bCs/>
          <w:kern w:val="0"/>
          <w:szCs w:val="21"/>
        </w:rPr>
        <w:t>代表嘉定推送的</w:t>
      </w:r>
      <w:r>
        <w:rPr>
          <w:rFonts w:hint="eastAsia"/>
        </w:rPr>
        <w:t>《建设磁性课堂，助推教师成长》微视频</w:t>
      </w:r>
      <w:r>
        <w:rPr>
          <w:rFonts w:hint="eastAsia" w:ascii="宋体" w:hAnsi="宋体" w:cs="Arial Unicode MS"/>
          <w:kern w:val="0"/>
          <w:szCs w:val="21"/>
        </w:rPr>
        <w:t>汇编入“2017年上海市暑期校园长培训资料”；最重要的是“磁性”的课堂提升了学生的思维品质，近几年的“绿色指标”评价显示我校学生的</w:t>
      </w:r>
      <w:r>
        <w:rPr>
          <w:rFonts w:hint="eastAsia"/>
        </w:rPr>
        <w:t>高层次思维能力指数</w:t>
      </w:r>
      <w:r>
        <w:rPr>
          <w:rFonts w:hint="eastAsia" w:ascii="宋体" w:hAnsi="宋体" w:cs="Arial Unicode MS"/>
          <w:kern w:val="0"/>
          <w:szCs w:val="21"/>
        </w:rPr>
        <w:t>比之前有了明显提升。</w:t>
      </w:r>
      <w:r>
        <w:rPr>
          <w:rFonts w:hint="eastAsia"/>
        </w:rPr>
        <w:t>此外，</w:t>
      </w:r>
      <w:r>
        <w:rPr>
          <w:rFonts w:hint="eastAsia"/>
          <w:lang w:eastAsia="zh-CN"/>
        </w:rPr>
        <w:t>本项目研究不仅提升了课堂的品质，也带动了备课、作业等教学环节的改进，转变了师生教与学的方式。</w:t>
      </w:r>
    </w:p>
    <w:p>
      <w:pPr>
        <w:numPr>
          <w:ilvl w:val="0"/>
          <w:numId w:val="5"/>
        </w:numPr>
        <w:spacing w:line="360" w:lineRule="auto"/>
        <w:rPr>
          <w:b/>
          <w:bCs/>
        </w:rPr>
      </w:pPr>
      <w:r>
        <w:rPr>
          <w:rFonts w:hint="eastAsia"/>
          <w:b/>
          <w:bCs/>
        </w:rPr>
        <w:t>启动新一轮研究，探索脚步不停</w:t>
      </w:r>
    </w:p>
    <w:p>
      <w:pPr>
        <w:spacing w:line="360" w:lineRule="auto"/>
        <w:ind w:firstLine="420" w:firstLineChars="200"/>
        <w:rPr>
          <w:b/>
          <w:bCs/>
          <w:color w:val="4472C4" w:themeColor="accent1"/>
          <w14:textFill>
            <w14:solidFill>
              <w14:schemeClr w14:val="accent1"/>
            </w14:solidFill>
          </w14:textFill>
        </w:rPr>
      </w:pPr>
      <w:r>
        <w:rPr>
          <w:rFonts w:hint="eastAsia" w:ascii="宋体" w:hAnsi="宋体" w:cs="宋体"/>
          <w:kern w:val="0"/>
          <w:szCs w:val="21"/>
        </w:rPr>
        <w:t>随着课改的深化，学科核心素养的提出给课堂教学带来了新的挑战。而单元教学是对教学内容做“结构化”处理的主要抓手，有助于学生学科思想方法乃至学科素养的形成。基于上述认识，我们及时把握新导向新形势，将</w:t>
      </w:r>
      <w:r>
        <w:rPr>
          <w:rFonts w:hint="eastAsia"/>
        </w:rPr>
        <w:t>研究方向聚焦于单元教学设计，</w:t>
      </w:r>
      <w:r>
        <w:rPr>
          <w:rFonts w:hint="eastAsia" w:ascii="宋体" w:hAnsi="宋体" w:cs="宋体"/>
          <w:kern w:val="0"/>
          <w:szCs w:val="21"/>
        </w:rPr>
        <w:t>确定了新一轮研究项目——“</w:t>
      </w:r>
      <w:r>
        <w:rPr>
          <w:rFonts w:hint="eastAsia"/>
        </w:rPr>
        <w:t>单元教学背景下的磁性课堂研究</w:t>
      </w:r>
      <w:r>
        <w:rPr>
          <w:rFonts w:hint="eastAsia" w:ascii="宋体" w:hAnsi="宋体" w:cs="宋体"/>
          <w:kern w:val="0"/>
          <w:szCs w:val="21"/>
        </w:rPr>
        <w:t>”</w:t>
      </w:r>
      <w:r>
        <w:rPr>
          <w:rFonts w:hint="eastAsia"/>
        </w:rPr>
        <w:t>，以“学生学科核心素养培</w:t>
      </w:r>
      <w:r>
        <w:rPr>
          <w:rFonts w:hint="eastAsia"/>
          <w:lang w:eastAsia="zh-CN"/>
        </w:rPr>
        <w:t>育</w:t>
      </w:r>
      <w:r>
        <w:rPr>
          <w:rFonts w:hint="eastAsia"/>
        </w:rPr>
        <w:t>”为突破口，分学科选取切入点，确定研究主题，成立了若干个子项目</w:t>
      </w:r>
      <w:r>
        <w:rPr>
          <w:rFonts w:hint="eastAsia"/>
          <w:b/>
          <w:bCs/>
        </w:rPr>
        <w:t>。</w:t>
      </w:r>
    </w:p>
    <w:tbl>
      <w:tblPr>
        <w:tblStyle w:val="7"/>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564"/>
        <w:gridCol w:w="4962"/>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B4C6E7" w:themeFill="accent1" w:themeFillTint="66"/>
            <w:vAlign w:val="center"/>
          </w:tcPr>
          <w:p>
            <w:pPr>
              <w:spacing w:line="360" w:lineRule="auto"/>
              <w:jc w:val="center"/>
            </w:pPr>
            <w:r>
              <w:t>序号</w:t>
            </w:r>
          </w:p>
        </w:tc>
        <w:tc>
          <w:tcPr>
            <w:tcW w:w="1564" w:type="dxa"/>
            <w:shd w:val="clear" w:color="auto" w:fill="B4C6E7" w:themeFill="accent1" w:themeFillTint="66"/>
            <w:vAlign w:val="center"/>
          </w:tcPr>
          <w:p>
            <w:pPr>
              <w:spacing w:line="360" w:lineRule="auto"/>
              <w:jc w:val="center"/>
              <w:rPr>
                <w:rFonts w:hint="eastAsia" w:eastAsiaTheme="minorEastAsia"/>
                <w:lang w:eastAsia="zh-CN"/>
              </w:rPr>
            </w:pPr>
            <w:r>
              <w:rPr>
                <w:rFonts w:hint="eastAsia"/>
                <w:lang w:eastAsia="zh-CN"/>
              </w:rPr>
              <w:t>学科</w:t>
            </w:r>
          </w:p>
        </w:tc>
        <w:tc>
          <w:tcPr>
            <w:tcW w:w="4962" w:type="dxa"/>
            <w:shd w:val="clear" w:color="auto" w:fill="B4C6E7" w:themeFill="accent1" w:themeFillTint="66"/>
            <w:vAlign w:val="center"/>
          </w:tcPr>
          <w:p>
            <w:pPr>
              <w:spacing w:line="360" w:lineRule="auto"/>
              <w:jc w:val="center"/>
              <w:rPr>
                <w:rFonts w:hint="eastAsia" w:eastAsiaTheme="minorEastAsia"/>
                <w:lang w:eastAsia="zh-CN"/>
              </w:rPr>
            </w:pPr>
            <w:r>
              <w:t>子项目研究</w:t>
            </w:r>
            <w:r>
              <w:rPr>
                <w:rFonts w:hint="eastAsia"/>
                <w:lang w:eastAsia="zh-CN"/>
              </w:rPr>
              <w:t>主题</w:t>
            </w:r>
          </w:p>
        </w:tc>
        <w:tc>
          <w:tcPr>
            <w:tcW w:w="1275" w:type="dxa"/>
            <w:shd w:val="clear" w:color="auto" w:fill="B4C6E7" w:themeFill="accent1" w:themeFillTint="66"/>
            <w:vAlign w:val="center"/>
          </w:tcPr>
          <w:p>
            <w:pPr>
              <w:spacing w:line="360" w:lineRule="auto"/>
              <w:jc w:val="center"/>
            </w:pPr>
            <w: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60" w:lineRule="auto"/>
              <w:jc w:val="center"/>
            </w:pPr>
            <w:r>
              <w:rPr>
                <w:rFonts w:hint="eastAsia"/>
              </w:rPr>
              <w:t>1</w:t>
            </w:r>
          </w:p>
        </w:tc>
        <w:tc>
          <w:tcPr>
            <w:tcW w:w="1564" w:type="dxa"/>
            <w:vAlign w:val="center"/>
          </w:tcPr>
          <w:p>
            <w:pPr>
              <w:spacing w:line="360" w:lineRule="auto"/>
              <w:jc w:val="center"/>
            </w:pPr>
            <w:r>
              <w:t>语文</w:t>
            </w:r>
          </w:p>
        </w:tc>
        <w:tc>
          <w:tcPr>
            <w:tcW w:w="4962" w:type="dxa"/>
            <w:vAlign w:val="center"/>
          </w:tcPr>
          <w:p>
            <w:pPr>
              <w:spacing w:line="360" w:lineRule="auto"/>
              <w:jc w:val="left"/>
            </w:pPr>
            <w:r>
              <w:rPr>
                <w:rFonts w:hint="eastAsia"/>
              </w:rPr>
              <w:t>“以始为终”任务驱动下的语文素养培养研究</w:t>
            </w:r>
          </w:p>
        </w:tc>
        <w:tc>
          <w:tcPr>
            <w:tcW w:w="1275" w:type="dxa"/>
            <w:vAlign w:val="center"/>
          </w:tcPr>
          <w:p>
            <w:pPr>
              <w:spacing w:line="360" w:lineRule="auto"/>
              <w:jc w:val="center"/>
            </w:pPr>
            <w:r>
              <w:rPr>
                <w:rFonts w:hint="eastAsia"/>
              </w:rPr>
              <w:t>白晓阳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60" w:lineRule="auto"/>
              <w:jc w:val="center"/>
            </w:pPr>
            <w:r>
              <w:rPr>
                <w:rFonts w:hint="eastAsia"/>
              </w:rPr>
              <w:t>2</w:t>
            </w:r>
          </w:p>
        </w:tc>
        <w:tc>
          <w:tcPr>
            <w:tcW w:w="1564" w:type="dxa"/>
            <w:vMerge w:val="restart"/>
            <w:vAlign w:val="center"/>
          </w:tcPr>
          <w:p>
            <w:pPr>
              <w:spacing w:line="360" w:lineRule="auto"/>
              <w:jc w:val="center"/>
            </w:pPr>
            <w:r>
              <w:t>数学</w:t>
            </w:r>
          </w:p>
        </w:tc>
        <w:tc>
          <w:tcPr>
            <w:tcW w:w="4962" w:type="dxa"/>
            <w:vAlign w:val="center"/>
          </w:tcPr>
          <w:p>
            <w:pPr>
              <w:spacing w:line="360" w:lineRule="auto"/>
              <w:jc w:val="left"/>
            </w:pPr>
            <w:r>
              <w:rPr>
                <w:rFonts w:hint="eastAsia"/>
              </w:rPr>
              <w:t>建模思想在初中阶段的课例研究</w:t>
            </w:r>
          </w:p>
        </w:tc>
        <w:tc>
          <w:tcPr>
            <w:tcW w:w="1275" w:type="dxa"/>
            <w:vAlign w:val="center"/>
          </w:tcPr>
          <w:p>
            <w:pPr>
              <w:spacing w:line="360" w:lineRule="auto"/>
              <w:jc w:val="center"/>
            </w:pPr>
            <w:r>
              <w:rPr>
                <w:rFonts w:hint="eastAsia"/>
              </w:rPr>
              <w:t>谢长玉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60" w:lineRule="auto"/>
              <w:jc w:val="center"/>
            </w:pPr>
            <w:r>
              <w:rPr>
                <w:rFonts w:hint="eastAsia"/>
              </w:rPr>
              <w:t>3</w:t>
            </w:r>
          </w:p>
        </w:tc>
        <w:tc>
          <w:tcPr>
            <w:tcW w:w="1564" w:type="dxa"/>
            <w:vMerge w:val="continue"/>
            <w:vAlign w:val="center"/>
          </w:tcPr>
          <w:p>
            <w:pPr>
              <w:spacing w:line="360" w:lineRule="auto"/>
              <w:jc w:val="center"/>
            </w:pPr>
          </w:p>
        </w:tc>
        <w:tc>
          <w:tcPr>
            <w:tcW w:w="4962" w:type="dxa"/>
            <w:vAlign w:val="center"/>
          </w:tcPr>
          <w:p>
            <w:pPr>
              <w:spacing w:line="360" w:lineRule="auto"/>
              <w:jc w:val="left"/>
            </w:pPr>
            <w:r>
              <w:rPr>
                <w:rFonts w:hint="eastAsia"/>
              </w:rPr>
              <w:t>磁性数学课堂单元教学中开放式问题的设计研究</w:t>
            </w:r>
          </w:p>
        </w:tc>
        <w:tc>
          <w:tcPr>
            <w:tcW w:w="1275" w:type="dxa"/>
            <w:vAlign w:val="center"/>
          </w:tcPr>
          <w:p>
            <w:pPr>
              <w:spacing w:line="360" w:lineRule="auto"/>
              <w:jc w:val="center"/>
            </w:pPr>
            <w:r>
              <w:rPr>
                <w:rFonts w:hint="eastAsia"/>
              </w:rPr>
              <w:t>陈思、唐丹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60" w:lineRule="auto"/>
              <w:jc w:val="center"/>
            </w:pPr>
            <w:r>
              <w:rPr>
                <w:rFonts w:hint="eastAsia"/>
              </w:rPr>
              <w:t>4</w:t>
            </w:r>
          </w:p>
        </w:tc>
        <w:tc>
          <w:tcPr>
            <w:tcW w:w="1564" w:type="dxa"/>
            <w:vMerge w:val="restart"/>
            <w:vAlign w:val="center"/>
          </w:tcPr>
          <w:p>
            <w:pPr>
              <w:spacing w:line="360" w:lineRule="auto"/>
              <w:jc w:val="center"/>
            </w:pPr>
            <w:r>
              <w:rPr>
                <w:rFonts w:hint="eastAsia"/>
              </w:rPr>
              <w:t>英语</w:t>
            </w:r>
          </w:p>
        </w:tc>
        <w:tc>
          <w:tcPr>
            <w:tcW w:w="4962" w:type="dxa"/>
            <w:vAlign w:val="center"/>
          </w:tcPr>
          <w:p>
            <w:pPr>
              <w:spacing w:line="360" w:lineRule="auto"/>
              <w:jc w:val="left"/>
            </w:pPr>
            <w:r>
              <w:rPr>
                <w:rFonts w:hint="eastAsia"/>
              </w:rPr>
              <w:t>单元教学设计背景下分年级写作训练教学设计研究</w:t>
            </w:r>
          </w:p>
        </w:tc>
        <w:tc>
          <w:tcPr>
            <w:tcW w:w="1275" w:type="dxa"/>
            <w:vAlign w:val="center"/>
          </w:tcPr>
          <w:p>
            <w:pPr>
              <w:spacing w:line="360" w:lineRule="auto"/>
              <w:jc w:val="center"/>
            </w:pPr>
            <w:r>
              <w:rPr>
                <w:rFonts w:hint="eastAsia"/>
              </w:rPr>
              <w:t>刘妍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60" w:lineRule="auto"/>
              <w:jc w:val="center"/>
            </w:pPr>
            <w:r>
              <w:rPr>
                <w:rFonts w:hint="eastAsia"/>
              </w:rPr>
              <w:t>5</w:t>
            </w:r>
          </w:p>
        </w:tc>
        <w:tc>
          <w:tcPr>
            <w:tcW w:w="1564" w:type="dxa"/>
            <w:vMerge w:val="continue"/>
            <w:vAlign w:val="center"/>
          </w:tcPr>
          <w:p>
            <w:pPr>
              <w:spacing w:line="360" w:lineRule="auto"/>
              <w:jc w:val="center"/>
            </w:pPr>
          </w:p>
        </w:tc>
        <w:tc>
          <w:tcPr>
            <w:tcW w:w="4962" w:type="dxa"/>
            <w:vAlign w:val="center"/>
          </w:tcPr>
          <w:p>
            <w:pPr>
              <w:spacing w:line="360" w:lineRule="auto"/>
              <w:jc w:val="left"/>
            </w:pPr>
            <w:r>
              <w:rPr>
                <w:rFonts w:hint="eastAsia"/>
              </w:rPr>
              <w:t>单元教学设计背景下六年级学习任务单的设计研究</w:t>
            </w:r>
          </w:p>
        </w:tc>
        <w:tc>
          <w:tcPr>
            <w:tcW w:w="1275" w:type="dxa"/>
            <w:vAlign w:val="center"/>
          </w:tcPr>
          <w:p>
            <w:pPr>
              <w:spacing w:line="360" w:lineRule="auto"/>
              <w:jc w:val="center"/>
            </w:pPr>
            <w:r>
              <w:rPr>
                <w:rFonts w:hint="eastAsia"/>
              </w:rPr>
              <w:t>唐文静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60" w:lineRule="auto"/>
              <w:jc w:val="center"/>
            </w:pPr>
            <w:r>
              <w:rPr>
                <w:rFonts w:hint="eastAsia"/>
              </w:rPr>
              <w:t>6</w:t>
            </w:r>
          </w:p>
        </w:tc>
        <w:tc>
          <w:tcPr>
            <w:tcW w:w="1564" w:type="dxa"/>
            <w:vAlign w:val="center"/>
          </w:tcPr>
          <w:p>
            <w:pPr>
              <w:spacing w:line="360" w:lineRule="auto"/>
              <w:jc w:val="center"/>
            </w:pPr>
            <w:r>
              <w:t>物理</w:t>
            </w:r>
          </w:p>
        </w:tc>
        <w:tc>
          <w:tcPr>
            <w:tcW w:w="4962" w:type="dxa"/>
            <w:vAlign w:val="center"/>
          </w:tcPr>
          <w:p>
            <w:pPr>
              <w:spacing w:line="360" w:lineRule="auto"/>
              <w:jc w:val="left"/>
            </w:pPr>
            <w:r>
              <w:rPr>
                <w:rFonts w:hint="eastAsia"/>
              </w:rPr>
              <w:t>新中考政策下的物理实验课研究</w:t>
            </w:r>
          </w:p>
        </w:tc>
        <w:tc>
          <w:tcPr>
            <w:tcW w:w="1275" w:type="dxa"/>
            <w:vAlign w:val="center"/>
          </w:tcPr>
          <w:p>
            <w:pPr>
              <w:spacing w:line="360" w:lineRule="auto"/>
              <w:jc w:val="center"/>
            </w:pPr>
            <w:r>
              <w:rPr>
                <w:rFonts w:hint="eastAsia"/>
              </w:rPr>
              <w:t>陈叶清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60" w:lineRule="auto"/>
              <w:jc w:val="center"/>
            </w:pPr>
            <w:r>
              <w:rPr>
                <w:rFonts w:hint="eastAsia"/>
              </w:rPr>
              <w:t>7</w:t>
            </w:r>
          </w:p>
        </w:tc>
        <w:tc>
          <w:tcPr>
            <w:tcW w:w="1564" w:type="dxa"/>
            <w:vAlign w:val="center"/>
          </w:tcPr>
          <w:p>
            <w:pPr>
              <w:spacing w:line="360" w:lineRule="auto"/>
              <w:jc w:val="center"/>
            </w:pPr>
            <w:r>
              <w:t>化学</w:t>
            </w:r>
          </w:p>
        </w:tc>
        <w:tc>
          <w:tcPr>
            <w:tcW w:w="4962" w:type="dxa"/>
            <w:vAlign w:val="center"/>
          </w:tcPr>
          <w:p>
            <w:pPr>
              <w:spacing w:line="360" w:lineRule="auto"/>
              <w:jc w:val="left"/>
            </w:pPr>
            <w:r>
              <w:rPr>
                <w:rFonts w:hint="eastAsia"/>
              </w:rPr>
              <w:t>探索单元教学设计</w:t>
            </w:r>
            <w:r>
              <w:rPr>
                <w:rFonts w:hint="eastAsia"/>
                <w:lang w:eastAsia="zh-CN"/>
              </w:rPr>
              <w:t>，</w:t>
            </w:r>
            <w:r>
              <w:rPr>
                <w:rFonts w:hint="eastAsia"/>
              </w:rPr>
              <w:t>优化磁性课堂模式</w:t>
            </w:r>
          </w:p>
        </w:tc>
        <w:tc>
          <w:tcPr>
            <w:tcW w:w="1275" w:type="dxa"/>
            <w:vAlign w:val="center"/>
          </w:tcPr>
          <w:p>
            <w:pPr>
              <w:spacing w:line="360" w:lineRule="auto"/>
              <w:jc w:val="center"/>
            </w:pPr>
            <w:r>
              <w:rPr>
                <w:rFonts w:hint="eastAsia"/>
              </w:rPr>
              <w:t>周承燕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60" w:lineRule="auto"/>
              <w:jc w:val="center"/>
            </w:pPr>
            <w:r>
              <w:rPr>
                <w:rFonts w:hint="eastAsia"/>
              </w:rPr>
              <w:t>8</w:t>
            </w:r>
          </w:p>
        </w:tc>
        <w:tc>
          <w:tcPr>
            <w:tcW w:w="1564" w:type="dxa"/>
            <w:vAlign w:val="center"/>
          </w:tcPr>
          <w:p>
            <w:pPr>
              <w:spacing w:line="360" w:lineRule="auto"/>
              <w:jc w:val="center"/>
            </w:pPr>
            <w:r>
              <w:t>体育</w:t>
            </w:r>
          </w:p>
        </w:tc>
        <w:tc>
          <w:tcPr>
            <w:tcW w:w="4962" w:type="dxa"/>
            <w:vAlign w:val="center"/>
          </w:tcPr>
          <w:p>
            <w:pPr>
              <w:spacing w:line="360" w:lineRule="auto"/>
              <w:jc w:val="left"/>
            </w:pPr>
            <w:r>
              <w:rPr>
                <w:rFonts w:hint="eastAsia"/>
              </w:rPr>
              <w:t>优化教学设计，提升课堂磁性</w:t>
            </w:r>
          </w:p>
        </w:tc>
        <w:tc>
          <w:tcPr>
            <w:tcW w:w="1275" w:type="dxa"/>
            <w:vAlign w:val="center"/>
          </w:tcPr>
          <w:p>
            <w:pPr>
              <w:spacing w:line="360" w:lineRule="auto"/>
              <w:jc w:val="center"/>
            </w:pPr>
            <w:r>
              <w:rPr>
                <w:rFonts w:hint="eastAsia"/>
              </w:rPr>
              <w:t>束仁忠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60" w:lineRule="auto"/>
              <w:jc w:val="center"/>
            </w:pPr>
            <w:r>
              <w:rPr>
                <w:rFonts w:hint="eastAsia"/>
              </w:rPr>
              <w:t>9</w:t>
            </w:r>
          </w:p>
        </w:tc>
        <w:tc>
          <w:tcPr>
            <w:tcW w:w="1564" w:type="dxa"/>
            <w:vAlign w:val="center"/>
          </w:tcPr>
          <w:p>
            <w:pPr>
              <w:spacing w:line="360" w:lineRule="auto"/>
              <w:jc w:val="center"/>
            </w:pPr>
            <w:r>
              <w:t>音美劳</w:t>
            </w:r>
          </w:p>
        </w:tc>
        <w:tc>
          <w:tcPr>
            <w:tcW w:w="4962" w:type="dxa"/>
            <w:vAlign w:val="center"/>
          </w:tcPr>
          <w:p>
            <w:pPr>
              <w:spacing w:line="360" w:lineRule="auto"/>
              <w:jc w:val="left"/>
            </w:pPr>
            <w:r>
              <w:rPr>
                <w:rFonts w:hint="eastAsia"/>
              </w:rPr>
              <w:t>提高课堂教学各环节磁性的研究</w:t>
            </w:r>
          </w:p>
        </w:tc>
        <w:tc>
          <w:tcPr>
            <w:tcW w:w="1275" w:type="dxa"/>
            <w:vAlign w:val="center"/>
          </w:tcPr>
          <w:p>
            <w:pPr>
              <w:spacing w:line="360" w:lineRule="auto"/>
              <w:jc w:val="center"/>
            </w:pPr>
            <w:r>
              <w:rPr>
                <w:rFonts w:hint="eastAsia"/>
              </w:rPr>
              <w:t>刘安敏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60" w:lineRule="auto"/>
              <w:jc w:val="center"/>
            </w:pPr>
            <w:r>
              <w:rPr>
                <w:rFonts w:hint="eastAsia"/>
              </w:rPr>
              <w:t>10</w:t>
            </w:r>
          </w:p>
        </w:tc>
        <w:tc>
          <w:tcPr>
            <w:tcW w:w="1564" w:type="dxa"/>
            <w:vAlign w:val="center"/>
          </w:tcPr>
          <w:p>
            <w:pPr>
              <w:spacing w:line="360" w:lineRule="auto"/>
              <w:jc w:val="center"/>
            </w:pPr>
            <w:r>
              <w:rPr>
                <w:rFonts w:hint="eastAsia"/>
              </w:rPr>
              <w:t>历史</w:t>
            </w:r>
          </w:p>
        </w:tc>
        <w:tc>
          <w:tcPr>
            <w:tcW w:w="4962" w:type="dxa"/>
            <w:vAlign w:val="center"/>
          </w:tcPr>
          <w:p>
            <w:pPr>
              <w:spacing w:line="360" w:lineRule="auto"/>
              <w:jc w:val="left"/>
            </w:pPr>
            <w:r>
              <w:rPr>
                <w:rFonts w:hint="eastAsia"/>
              </w:rPr>
              <w:t>叙事见人——磁性语言在中学历史课堂上的运用</w:t>
            </w:r>
          </w:p>
        </w:tc>
        <w:tc>
          <w:tcPr>
            <w:tcW w:w="1275" w:type="dxa"/>
            <w:vAlign w:val="center"/>
          </w:tcPr>
          <w:p>
            <w:pPr>
              <w:spacing w:line="360" w:lineRule="auto"/>
              <w:jc w:val="center"/>
            </w:pPr>
            <w:r>
              <w:rPr>
                <w:rFonts w:hint="eastAsia"/>
              </w:rPr>
              <w:t>马文燕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60" w:lineRule="auto"/>
              <w:jc w:val="center"/>
            </w:pPr>
            <w:r>
              <w:rPr>
                <w:rFonts w:hint="eastAsia"/>
              </w:rPr>
              <w:t>11</w:t>
            </w:r>
          </w:p>
        </w:tc>
        <w:tc>
          <w:tcPr>
            <w:tcW w:w="1564" w:type="dxa"/>
            <w:vMerge w:val="restart"/>
            <w:vAlign w:val="center"/>
          </w:tcPr>
          <w:p>
            <w:pPr>
              <w:spacing w:line="360" w:lineRule="auto"/>
              <w:jc w:val="center"/>
            </w:pPr>
            <w:r>
              <w:rPr>
                <w:rFonts w:hint="eastAsia"/>
              </w:rPr>
              <w:t>地理</w:t>
            </w:r>
          </w:p>
        </w:tc>
        <w:tc>
          <w:tcPr>
            <w:tcW w:w="4962" w:type="dxa"/>
            <w:vAlign w:val="center"/>
          </w:tcPr>
          <w:p>
            <w:pPr>
              <w:spacing w:line="360" w:lineRule="auto"/>
              <w:jc w:val="left"/>
            </w:pPr>
            <w:r>
              <w:rPr>
                <w:rFonts w:hint="eastAsia"/>
              </w:rPr>
              <w:t>单元教学背景下的学生“行为体验”的研究</w:t>
            </w:r>
          </w:p>
        </w:tc>
        <w:tc>
          <w:tcPr>
            <w:tcW w:w="1275" w:type="dxa"/>
            <w:vAlign w:val="center"/>
          </w:tcPr>
          <w:p>
            <w:pPr>
              <w:spacing w:line="360" w:lineRule="auto"/>
              <w:jc w:val="center"/>
            </w:pPr>
            <w:r>
              <w:rPr>
                <w:rFonts w:hint="eastAsia"/>
              </w:rPr>
              <w:t>夏丹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60" w:lineRule="auto"/>
              <w:jc w:val="center"/>
            </w:pPr>
            <w:r>
              <w:rPr>
                <w:rFonts w:hint="eastAsia"/>
              </w:rPr>
              <w:t>12</w:t>
            </w:r>
          </w:p>
        </w:tc>
        <w:tc>
          <w:tcPr>
            <w:tcW w:w="1564" w:type="dxa"/>
            <w:vMerge w:val="continue"/>
            <w:vAlign w:val="center"/>
          </w:tcPr>
          <w:p>
            <w:pPr>
              <w:spacing w:line="360" w:lineRule="auto"/>
              <w:jc w:val="center"/>
            </w:pPr>
          </w:p>
        </w:tc>
        <w:tc>
          <w:tcPr>
            <w:tcW w:w="4962" w:type="dxa"/>
            <w:vAlign w:val="center"/>
          </w:tcPr>
          <w:p>
            <w:pPr>
              <w:spacing w:line="360" w:lineRule="auto"/>
              <w:jc w:val="left"/>
            </w:pPr>
            <w:r>
              <w:rPr>
                <w:rFonts w:hint="eastAsia"/>
              </w:rPr>
              <w:t>基于培养学生地理实践能力的课例研究</w:t>
            </w:r>
          </w:p>
        </w:tc>
        <w:tc>
          <w:tcPr>
            <w:tcW w:w="1275" w:type="dxa"/>
            <w:vAlign w:val="center"/>
          </w:tcPr>
          <w:p>
            <w:pPr>
              <w:spacing w:line="360" w:lineRule="auto"/>
              <w:jc w:val="center"/>
            </w:pPr>
            <w:r>
              <w:rPr>
                <w:rFonts w:hint="eastAsia"/>
              </w:rPr>
              <w:t>李新新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60" w:lineRule="auto"/>
              <w:jc w:val="center"/>
            </w:pPr>
            <w:r>
              <w:rPr>
                <w:rFonts w:hint="eastAsia"/>
              </w:rPr>
              <w:t>13</w:t>
            </w:r>
          </w:p>
        </w:tc>
        <w:tc>
          <w:tcPr>
            <w:tcW w:w="1564" w:type="dxa"/>
            <w:vAlign w:val="center"/>
          </w:tcPr>
          <w:p>
            <w:pPr>
              <w:spacing w:line="360" w:lineRule="auto"/>
              <w:jc w:val="center"/>
            </w:pPr>
            <w:r>
              <w:rPr>
                <w:rFonts w:hint="eastAsia"/>
              </w:rPr>
              <w:t>道法</w:t>
            </w:r>
          </w:p>
        </w:tc>
        <w:tc>
          <w:tcPr>
            <w:tcW w:w="4962" w:type="dxa"/>
            <w:vAlign w:val="center"/>
          </w:tcPr>
          <w:p>
            <w:pPr>
              <w:jc w:val="left"/>
            </w:pPr>
            <w:r>
              <w:rPr>
                <w:rFonts w:hint="eastAsia"/>
              </w:rPr>
              <w:t>单元教学背景下指向核心素养的八年级《道德与法治》单元教学设计研究</w:t>
            </w:r>
          </w:p>
        </w:tc>
        <w:tc>
          <w:tcPr>
            <w:tcW w:w="1275" w:type="dxa"/>
            <w:vAlign w:val="center"/>
          </w:tcPr>
          <w:p>
            <w:pPr>
              <w:spacing w:line="360" w:lineRule="auto"/>
              <w:jc w:val="center"/>
            </w:pPr>
            <w:r>
              <w:rPr>
                <w:rFonts w:hint="eastAsia"/>
              </w:rPr>
              <w:t>沈韵竹</w:t>
            </w:r>
          </w:p>
        </w:tc>
      </w:tr>
    </w:tbl>
    <w:p>
      <w:pPr>
        <w:tabs>
          <w:tab w:val="left" w:pos="490"/>
        </w:tabs>
        <w:spacing w:line="360" w:lineRule="auto"/>
        <w:rPr>
          <w:rFonts w:hint="eastAsia"/>
          <w:b/>
          <w:bCs/>
        </w:rPr>
      </w:pPr>
    </w:p>
    <w:p>
      <w:pPr>
        <w:tabs>
          <w:tab w:val="left" w:pos="490"/>
        </w:tabs>
        <w:spacing w:line="360" w:lineRule="auto"/>
        <w:ind w:firstLine="1891" w:firstLineChars="900"/>
        <w:rPr>
          <w:rFonts w:ascii="宋体" w:hAnsi="宋体"/>
          <w:szCs w:val="21"/>
        </w:rPr>
      </w:pPr>
      <w:r>
        <w:rPr>
          <w:rFonts w:hint="eastAsia"/>
          <w:b/>
          <w:bCs/>
        </w:rPr>
        <w:t>第三部分</w:t>
      </w:r>
      <w:r>
        <w:rPr>
          <w:rFonts w:hint="eastAsia"/>
          <w:b/>
          <w:bCs/>
          <w:color w:val="4472C4" w:themeColor="accent1"/>
          <w14:textFill>
            <w14:solidFill>
              <w14:schemeClr w14:val="accent1"/>
            </w14:solidFill>
          </w14:textFill>
        </w:rPr>
        <w:t xml:space="preserve"> </w:t>
      </w:r>
      <w:r>
        <w:rPr>
          <w:rFonts w:hint="eastAsia"/>
          <w:b/>
        </w:rPr>
        <w:t>队伍梯队建设，助推教师</w:t>
      </w:r>
      <w:r>
        <w:rPr>
          <w:rFonts w:hint="eastAsia" w:ascii="宋体" w:hAnsi="宋体"/>
          <w:b/>
          <w:szCs w:val="21"/>
        </w:rPr>
        <w:t>专业素养提升</w:t>
      </w:r>
    </w:p>
    <w:p>
      <w:pPr>
        <w:spacing w:line="360" w:lineRule="auto"/>
        <w:rPr>
          <w:rFonts w:ascii="宋体" w:hAnsi="宋体" w:cs="宋体"/>
          <w:szCs w:val="21"/>
        </w:rPr>
      </w:pPr>
      <w:r>
        <w:rPr>
          <w:rFonts w:hint="eastAsia" w:ascii="宋体" w:hAnsi="宋体"/>
          <w:szCs w:val="21"/>
        </w:rPr>
        <w:t xml:space="preserve">  我校牢固树立“高品质的师资队伍是学校发展的第一资源”的工作理念，为保证教师队伍的内涵发展、专业提升及整体水平与学校</w:t>
      </w:r>
      <w:r>
        <w:rPr>
          <w:rFonts w:hint="eastAsia" w:ascii="宋体" w:hAnsi="宋体"/>
          <w:szCs w:val="21"/>
          <w:lang w:eastAsia="zh-CN"/>
        </w:rPr>
        <w:t>“</w:t>
      </w:r>
      <w:r>
        <w:rPr>
          <w:rFonts w:hint="eastAsia" w:ascii="宋体" w:hAnsi="宋体"/>
          <w:szCs w:val="21"/>
        </w:rPr>
        <w:t>磁性</w:t>
      </w:r>
      <w:r>
        <w:rPr>
          <w:rFonts w:hint="eastAsia" w:ascii="宋体" w:hAnsi="宋体"/>
          <w:szCs w:val="21"/>
          <w:lang w:eastAsia="zh-CN"/>
        </w:rPr>
        <w:t>”</w:t>
      </w:r>
      <w:r>
        <w:rPr>
          <w:rFonts w:hint="eastAsia" w:ascii="宋体" w:hAnsi="宋体"/>
          <w:szCs w:val="21"/>
        </w:rPr>
        <w:t>课程（课堂）建设的要求相匹配，我校从2015年起实施“师资队伍梯队建设工程”。指导教师根据自身实际制定个人专业发展规划，每年暑期进行达成度</w:t>
      </w:r>
      <w:r>
        <w:rPr>
          <w:rFonts w:hint="eastAsia" w:ascii="宋体" w:hAnsi="宋体"/>
          <w:szCs w:val="21"/>
          <w:lang w:eastAsia="zh-CN"/>
        </w:rPr>
        <w:t>总结</w:t>
      </w:r>
      <w:r>
        <w:rPr>
          <w:rFonts w:hint="eastAsia" w:ascii="宋体" w:hAnsi="宋体"/>
          <w:szCs w:val="21"/>
        </w:rPr>
        <w:t>并不断调整。根据教师的发展需求与发展状况，整合运用优质资源，开展分层分类培训。力争</w:t>
      </w:r>
      <w:r>
        <w:rPr>
          <w:rFonts w:hint="eastAsia" w:ascii="宋体" w:hAnsi="宋体" w:cs="宋体"/>
          <w:szCs w:val="21"/>
        </w:rPr>
        <w:t>经过五年的努力，形成一支以</w:t>
      </w:r>
      <w:r>
        <w:rPr>
          <w:rFonts w:hint="eastAsia" w:ascii="宋体" w:hAnsi="宋体"/>
          <w:szCs w:val="21"/>
        </w:rPr>
        <w:t>特级教师、学科带头人、骨干教师和学科新星为主体的“四级”优秀教师梯队。</w:t>
      </w:r>
      <w:r>
        <w:rPr>
          <w:rFonts w:hint="eastAsia" w:ascii="宋体" w:hAnsi="宋体" w:cs="宋体"/>
          <w:szCs w:val="21"/>
        </w:rPr>
        <w:t>使不同层次、不同类型教师在专业素养的四个方面（专业精神、专业知识、专业能力、人文素养）均有</w:t>
      </w:r>
      <w:r>
        <w:rPr>
          <w:rFonts w:hint="eastAsia" w:ascii="宋体" w:hAnsi="宋体" w:cs="宋体"/>
          <w:szCs w:val="21"/>
          <w:lang w:eastAsia="zh-CN"/>
        </w:rPr>
        <w:t>明显</w:t>
      </w:r>
      <w:r>
        <w:rPr>
          <w:rFonts w:hint="eastAsia" w:ascii="宋体" w:hAnsi="宋体" w:cs="宋体"/>
          <w:szCs w:val="21"/>
        </w:rPr>
        <w:t>提升。</w:t>
      </w:r>
    </w:p>
    <w:p>
      <w:pPr>
        <w:spacing w:line="360" w:lineRule="auto"/>
        <w:rPr>
          <w:rFonts w:ascii="宋体" w:hAnsi="宋体"/>
          <w:szCs w:val="21"/>
        </w:rPr>
      </w:pPr>
      <w:r>
        <w:rPr>
          <w:rFonts w:hint="eastAsia" w:ascii="宋体" w:hAnsi="宋体"/>
          <w:szCs w:val="21"/>
        </w:rPr>
        <w:t xml:space="preserve">   实施形式主要有：全员培训、专家“导航”、学科指导、师徒结对、“私人订制”、教工社团等6种。</w:t>
      </w:r>
    </w:p>
    <w:p>
      <w:pPr>
        <w:spacing w:line="360" w:lineRule="auto"/>
        <w:rPr>
          <w:rFonts w:ascii="宋体" w:hAnsi="宋体" w:cs="宋体"/>
          <w:szCs w:val="21"/>
        </w:rPr>
      </w:pPr>
      <w:r>
        <w:rPr>
          <w:rFonts w:hint="eastAsia" w:ascii="宋体" w:hAnsi="宋体" w:cs="宋体"/>
          <w:b/>
          <w:bCs/>
          <w:szCs w:val="21"/>
          <w:lang w:eastAsia="zh-CN"/>
        </w:rPr>
        <w:t>一、</w:t>
      </w:r>
      <w:r>
        <w:rPr>
          <w:rFonts w:hint="eastAsia" w:ascii="宋体" w:hAnsi="宋体" w:cs="宋体"/>
          <w:b/>
          <w:bCs/>
          <w:szCs w:val="21"/>
        </w:rPr>
        <w:t>全员培训——夯实教师基本素养</w:t>
      </w:r>
    </w:p>
    <w:p>
      <w:pPr>
        <w:spacing w:line="360" w:lineRule="auto"/>
        <w:ind w:firstLine="210" w:firstLineChars="100"/>
        <w:rPr>
          <w:rFonts w:ascii="宋体" w:hAnsi="宋体" w:cs="宋体"/>
          <w:szCs w:val="21"/>
        </w:rPr>
      </w:pPr>
      <w:r>
        <w:rPr>
          <w:rFonts w:hint="eastAsia" w:ascii="宋体" w:hAnsi="宋体" w:cs="宋体"/>
          <w:szCs w:val="21"/>
          <w:lang w:val="en-US" w:eastAsia="zh-CN"/>
        </w:rPr>
        <w:t>1.</w:t>
      </w:r>
      <w:r>
        <w:rPr>
          <w:rFonts w:hint="eastAsia" w:ascii="宋体" w:hAnsi="宋体" w:cs="宋体"/>
          <w:szCs w:val="21"/>
        </w:rPr>
        <w:t>专项培训：涉及师德类、人文类、科研类、教学技能类、</w:t>
      </w:r>
      <w:r>
        <w:rPr>
          <w:rFonts w:hint="eastAsia"/>
          <w:szCs w:val="21"/>
        </w:rPr>
        <w:t>信息技术类</w:t>
      </w:r>
      <w:r>
        <w:rPr>
          <w:rFonts w:hint="eastAsia" w:ascii="宋体" w:hAnsi="宋体" w:cs="宋体"/>
          <w:szCs w:val="21"/>
        </w:rPr>
        <w:t>等通识培训。</w:t>
      </w:r>
    </w:p>
    <w:p>
      <w:pPr>
        <w:numPr>
          <w:numId w:val="0"/>
        </w:numPr>
        <w:spacing w:line="360" w:lineRule="auto"/>
        <w:ind w:firstLine="210" w:firstLineChars="100"/>
        <w:rPr>
          <w:rFonts w:ascii="宋体" w:hAnsi="宋体"/>
          <w:b/>
          <w:bCs/>
          <w:kern w:val="0"/>
          <w:szCs w:val="21"/>
        </w:rPr>
      </w:pPr>
      <w:r>
        <w:rPr>
          <w:rFonts w:hint="eastAsia" w:ascii="宋体" w:hAnsi="宋体" w:cs="宋体"/>
          <w:szCs w:val="21"/>
          <w:lang w:val="en-US" w:eastAsia="zh-CN"/>
        </w:rPr>
        <w:t>2.</w:t>
      </w:r>
      <w:r>
        <w:rPr>
          <w:rFonts w:hint="eastAsia" w:ascii="宋体" w:hAnsi="宋体" w:cs="宋体"/>
          <w:szCs w:val="21"/>
        </w:rPr>
        <w:t>主题培训：</w:t>
      </w:r>
      <w:r>
        <w:rPr>
          <w:rFonts w:hint="eastAsia" w:ascii="宋体" w:hAnsi="宋体"/>
          <w:szCs w:val="21"/>
        </w:rPr>
        <w:t>对接学校的</w:t>
      </w:r>
      <w:r>
        <w:rPr>
          <w:rFonts w:hint="eastAsia"/>
          <w:szCs w:val="21"/>
        </w:rPr>
        <w:t>教育综合改革重点项目</w:t>
      </w:r>
      <w:r>
        <w:rPr>
          <w:rFonts w:hint="eastAsia" w:ascii="宋体" w:hAnsi="宋体" w:cs="宋体"/>
          <w:kern w:val="0"/>
          <w:szCs w:val="21"/>
        </w:rPr>
        <w:t>“磁性”课程（课堂）建设</w:t>
      </w:r>
      <w:r>
        <w:rPr>
          <w:rFonts w:hint="eastAsia" w:ascii="宋体" w:hAnsi="宋体"/>
          <w:szCs w:val="21"/>
        </w:rPr>
        <w:t>开展</w:t>
      </w:r>
      <w:r>
        <w:rPr>
          <w:rFonts w:hint="eastAsia" w:ascii="宋体" w:hAnsi="宋体" w:cs="宋体"/>
          <w:bCs/>
          <w:kern w:val="0"/>
          <w:szCs w:val="21"/>
        </w:rPr>
        <w:t>系列校本培训</w:t>
      </w:r>
      <w:r>
        <w:rPr>
          <w:rFonts w:hint="eastAsia" w:ascii="宋体" w:hAnsi="宋体"/>
          <w:szCs w:val="21"/>
        </w:rPr>
        <w:t>，每年都结合最新的教育形势和要求确定培训主题、培训内容。</w:t>
      </w:r>
    </w:p>
    <w:p>
      <w:pPr>
        <w:ind w:firstLine="315" w:firstLineChars="150"/>
        <w:rPr>
          <w:rFonts w:ascii="宋体" w:hAnsi="宋体"/>
          <w:kern w:val="0"/>
          <w:szCs w:val="21"/>
        </w:rPr>
      </w:pPr>
      <w:r>
        <w:rPr>
          <w:rFonts w:hint="eastAsia" w:ascii="宋体" w:hAnsi="宋体" w:cs="Arial Unicode MS"/>
          <w:kern w:val="0"/>
          <w:szCs w:val="21"/>
        </w:rPr>
        <w:t>2015年</w:t>
      </w:r>
      <w:r>
        <w:rPr>
          <w:rFonts w:hint="eastAsia" w:ascii="宋体" w:hAnsi="宋体"/>
          <w:szCs w:val="21"/>
        </w:rPr>
        <w:t>培训主题：“让我们的课程充满‘磁性’”,</w:t>
      </w:r>
      <w:r>
        <w:rPr>
          <w:rFonts w:hint="eastAsia" w:ascii="宋体" w:hAnsi="宋体" w:cs="Arial Unicode MS"/>
          <w:kern w:val="0"/>
          <w:szCs w:val="21"/>
        </w:rPr>
        <w:t>培训内容有</w:t>
      </w:r>
      <w:r>
        <w:rPr>
          <w:rFonts w:hint="eastAsia" w:ascii="宋体" w:hAnsi="宋体"/>
          <w:szCs w:val="21"/>
        </w:rPr>
        <w:t>“学校理念系统</w:t>
      </w:r>
      <w:r>
        <w:rPr>
          <w:rFonts w:hint="eastAsia" w:ascii="宋体" w:hAnsi="宋体" w:cs="宋体"/>
          <w:szCs w:val="21"/>
        </w:rPr>
        <w:t>”、“</w:t>
      </w:r>
      <w:r>
        <w:rPr>
          <w:rFonts w:hint="eastAsia" w:ascii="宋体" w:hAnsi="宋体" w:cs="Arial Unicode MS"/>
          <w:kern w:val="0"/>
          <w:szCs w:val="21"/>
        </w:rPr>
        <w:t>课程基本理论</w:t>
      </w:r>
      <w:r>
        <w:rPr>
          <w:rFonts w:hint="eastAsia" w:ascii="宋体" w:hAnsi="宋体" w:cs="Arial Unicode MS"/>
          <w:szCs w:val="21"/>
        </w:rPr>
        <w:t>”</w:t>
      </w:r>
      <w:r>
        <w:rPr>
          <w:rFonts w:hint="eastAsia" w:ascii="宋体" w:hAnsi="宋体"/>
          <w:szCs w:val="21"/>
        </w:rPr>
        <w:t>、</w:t>
      </w:r>
      <w:r>
        <w:rPr>
          <w:rFonts w:hint="eastAsia" w:ascii="宋体" w:hAnsi="宋体" w:cs="宋体"/>
          <w:szCs w:val="21"/>
        </w:rPr>
        <w:t>“</w:t>
      </w:r>
      <w:r>
        <w:rPr>
          <w:rFonts w:hint="eastAsia" w:ascii="宋体" w:hAnsi="宋体" w:cs="Arial Unicode MS"/>
          <w:kern w:val="0"/>
          <w:szCs w:val="21"/>
        </w:rPr>
        <w:t>校本课程开发</w:t>
      </w:r>
      <w:r>
        <w:rPr>
          <w:rFonts w:hint="eastAsia" w:ascii="宋体" w:hAnsi="宋体"/>
          <w:szCs w:val="21"/>
        </w:rPr>
        <w:t>”、</w:t>
      </w:r>
      <w:r>
        <w:rPr>
          <w:rFonts w:hint="eastAsia" w:ascii="宋体" w:hAnsi="宋体" w:cs="宋体"/>
          <w:szCs w:val="21"/>
        </w:rPr>
        <w:t>“</w:t>
      </w:r>
      <w:r>
        <w:rPr>
          <w:rFonts w:hint="eastAsia" w:ascii="宋体" w:hAnsi="宋体" w:cs="Arial Unicode MS"/>
          <w:kern w:val="0"/>
          <w:szCs w:val="21"/>
        </w:rPr>
        <w:t>课程纲要撰写</w:t>
      </w:r>
      <w:r>
        <w:rPr>
          <w:rFonts w:hint="eastAsia" w:ascii="宋体" w:hAnsi="宋体" w:cs="Arial Unicode MS"/>
          <w:szCs w:val="21"/>
        </w:rPr>
        <w:t>”</w:t>
      </w:r>
      <w:r>
        <w:rPr>
          <w:rFonts w:hint="eastAsia" w:ascii="宋体" w:hAnsi="宋体"/>
          <w:szCs w:val="21"/>
        </w:rPr>
        <w:t>、“</w:t>
      </w:r>
      <w:r>
        <w:rPr>
          <w:rFonts w:hint="eastAsia" w:ascii="宋体" w:hAnsi="宋体" w:cs="Arial Unicode MS"/>
          <w:kern w:val="0"/>
          <w:szCs w:val="21"/>
        </w:rPr>
        <w:t>课程设计的优化”</w:t>
      </w:r>
      <w:r>
        <w:rPr>
          <w:rFonts w:hint="eastAsia" w:ascii="宋体" w:hAnsi="宋体"/>
          <w:szCs w:val="21"/>
        </w:rPr>
        <w:t>等，</w:t>
      </w:r>
      <w:r>
        <w:rPr>
          <w:rFonts w:hint="eastAsia" w:ascii="宋体" w:hAnsi="宋体"/>
          <w:kern w:val="0"/>
          <w:szCs w:val="21"/>
        </w:rPr>
        <w:t>提升教师个体的课程领导力和开发实施“磁性”课程的动力和能力。</w:t>
      </w:r>
    </w:p>
    <w:p>
      <w:pPr>
        <w:spacing w:line="360" w:lineRule="auto"/>
        <w:ind w:firstLine="420" w:firstLineChars="200"/>
        <w:rPr>
          <w:rFonts w:ascii="宋体" w:hAnsi="宋体" w:cs="Arial Unicode MS"/>
          <w:kern w:val="0"/>
          <w:szCs w:val="21"/>
        </w:rPr>
      </w:pPr>
      <w:r>
        <w:rPr>
          <w:rFonts w:hint="eastAsia" w:ascii="宋体" w:hAnsi="宋体" w:cs="Arial Unicode MS"/>
          <w:kern w:val="0"/>
          <w:szCs w:val="21"/>
        </w:rPr>
        <w:t>2016年</w:t>
      </w:r>
      <w:r>
        <w:rPr>
          <w:rFonts w:hint="eastAsia" w:ascii="宋体" w:hAnsi="宋体"/>
          <w:szCs w:val="21"/>
        </w:rPr>
        <w:t>培训主题：</w:t>
      </w:r>
      <w:r>
        <w:rPr>
          <w:rFonts w:hint="eastAsia" w:ascii="宋体" w:hAnsi="宋体" w:cs="Arial Unicode MS"/>
          <w:kern w:val="0"/>
          <w:szCs w:val="21"/>
        </w:rPr>
        <w:t>“让我们的课堂充满‘磁性’”,培训内容有课堂转型专题讲座、“基于绿色指标的磁性课堂建设”项目启动培训、子项目实施指导等，提升教师设计与实施“磁性”课堂的能力。</w:t>
      </w:r>
    </w:p>
    <w:p>
      <w:pPr>
        <w:spacing w:line="360" w:lineRule="auto"/>
        <w:ind w:firstLine="420"/>
        <w:rPr>
          <w:rFonts w:ascii="宋体" w:hAnsi="宋体" w:cs="宋体"/>
          <w:kern w:val="0"/>
          <w:szCs w:val="21"/>
        </w:rPr>
      </w:pPr>
      <w:r>
        <w:rPr>
          <w:rFonts w:hint="eastAsia" w:ascii="宋体" w:hAnsi="宋体" w:cs="Arial Unicode MS"/>
          <w:kern w:val="0"/>
          <w:szCs w:val="21"/>
        </w:rPr>
        <w:t>2017年</w:t>
      </w:r>
      <w:r>
        <w:rPr>
          <w:rFonts w:hint="eastAsia" w:ascii="宋体" w:hAnsi="宋体"/>
          <w:szCs w:val="21"/>
        </w:rPr>
        <w:t>培训主题：</w:t>
      </w:r>
      <w:r>
        <w:rPr>
          <w:rFonts w:hint="eastAsia" w:ascii="宋体" w:hAnsi="宋体" w:cs="宋体"/>
          <w:kern w:val="0"/>
          <w:szCs w:val="21"/>
        </w:rPr>
        <w:t>“建磁性课堂 做磁性教师”，</w:t>
      </w:r>
      <w:r>
        <w:rPr>
          <w:rFonts w:hint="eastAsia" w:ascii="宋体" w:hAnsi="宋体" w:cs="Arial Unicode MS"/>
          <w:kern w:val="0"/>
          <w:szCs w:val="21"/>
        </w:rPr>
        <w:t>培训内容有工具运用的培训（绿蜻蜓平台、希沃软件、学科工具等）和内涵素养的培训（形象工程、嗓子工程、</w:t>
      </w:r>
      <w:r>
        <w:rPr>
          <w:rFonts w:hint="eastAsia" w:ascii="宋体" w:hAnsi="宋体" w:cs="宋体"/>
          <w:kern w:val="0"/>
          <w:szCs w:val="21"/>
        </w:rPr>
        <w:t>语言美化等</w:t>
      </w:r>
      <w:r>
        <w:rPr>
          <w:rFonts w:hint="eastAsia" w:ascii="宋体" w:hAnsi="宋体" w:cs="Arial Unicode MS"/>
          <w:kern w:val="0"/>
          <w:szCs w:val="21"/>
        </w:rPr>
        <w:t>），</w:t>
      </w:r>
      <w:r>
        <w:rPr>
          <w:rFonts w:hint="eastAsia" w:ascii="宋体" w:hAnsi="宋体" w:cs="宋体"/>
          <w:kern w:val="0"/>
          <w:szCs w:val="21"/>
        </w:rPr>
        <w:t>提升教师的综合素养和课堂领导力，让课堂更富磁性。</w:t>
      </w:r>
    </w:p>
    <w:p>
      <w:pPr>
        <w:spacing w:line="360" w:lineRule="auto"/>
        <w:ind w:firstLine="420"/>
        <w:rPr>
          <w:rFonts w:ascii="宋体" w:hAnsi="宋体" w:cs="Arial Unicode MS"/>
          <w:kern w:val="0"/>
          <w:szCs w:val="21"/>
        </w:rPr>
      </w:pPr>
      <w:r>
        <w:rPr>
          <w:rFonts w:hint="eastAsia" w:ascii="宋体" w:hAnsi="宋体" w:cs="Arial Unicode MS"/>
          <w:kern w:val="0"/>
          <w:szCs w:val="21"/>
        </w:rPr>
        <w:t>2018年</w:t>
      </w:r>
      <w:r>
        <w:rPr>
          <w:rFonts w:hint="eastAsia" w:ascii="宋体" w:hAnsi="宋体"/>
          <w:szCs w:val="21"/>
        </w:rPr>
        <w:t>培训主题：“</w:t>
      </w:r>
      <w:r>
        <w:rPr>
          <w:rFonts w:hint="eastAsia" w:ascii="宋体" w:hAnsi="宋体" w:cs="Arial Unicode MS"/>
          <w:kern w:val="0"/>
          <w:szCs w:val="21"/>
        </w:rPr>
        <w:t>聚焦中考改革新政，深化磁性课堂建设</w:t>
      </w:r>
      <w:r>
        <w:rPr>
          <w:rFonts w:hint="eastAsia" w:ascii="宋体" w:hAnsi="宋体"/>
          <w:szCs w:val="21"/>
        </w:rPr>
        <w:t>”，</w:t>
      </w:r>
      <w:r>
        <w:rPr>
          <w:rFonts w:hint="eastAsia" w:ascii="宋体" w:hAnsi="宋体" w:cs="Arial Unicode MS"/>
          <w:kern w:val="0"/>
          <w:szCs w:val="21"/>
        </w:rPr>
        <w:t>培训内容有</w:t>
      </w:r>
      <w:r>
        <w:rPr>
          <w:rFonts w:hint="eastAsia" w:ascii="宋体" w:hAnsi="宋体" w:cs="Arial Unicode MS"/>
          <w:color w:val="auto"/>
          <w:kern w:val="0"/>
          <w:szCs w:val="21"/>
        </w:rPr>
        <w:t>“五个一”</w:t>
      </w:r>
      <w:r>
        <w:rPr>
          <w:rFonts w:hint="eastAsia" w:ascii="宋体" w:hAnsi="宋体" w:cs="Arial Unicode MS"/>
          <w:kern w:val="0"/>
          <w:szCs w:val="21"/>
        </w:rPr>
        <w:t>中考研究系列培训、“未来的管理与课堂”专题报告、“学生发展核心素养与教师品质提升”主题培训等，帮助教师把握中考改革的导向和要求，调整和优化教学策略。</w:t>
      </w:r>
    </w:p>
    <w:p>
      <w:pPr>
        <w:spacing w:line="360" w:lineRule="auto"/>
        <w:ind w:firstLine="420"/>
        <w:rPr>
          <w:rFonts w:hint="eastAsia" w:ascii="宋体" w:hAnsi="宋体"/>
          <w:szCs w:val="21"/>
        </w:rPr>
      </w:pPr>
      <w:r>
        <w:rPr>
          <w:rFonts w:hint="eastAsia" w:ascii="宋体" w:hAnsi="宋体" w:cs="Arial Unicode MS"/>
          <w:kern w:val="0"/>
          <w:szCs w:val="21"/>
        </w:rPr>
        <w:t>2019年</w:t>
      </w:r>
      <w:r>
        <w:rPr>
          <w:rFonts w:hint="eastAsia" w:ascii="宋体" w:hAnsi="宋体"/>
          <w:szCs w:val="21"/>
        </w:rPr>
        <w:t>培训主题：“</w:t>
      </w:r>
      <w:r>
        <w:rPr>
          <w:rFonts w:hint="eastAsia" w:ascii="宋体" w:hAnsi="宋体" w:cs="Arial Unicode MS"/>
          <w:kern w:val="0"/>
          <w:szCs w:val="21"/>
        </w:rPr>
        <w:t>关注单元教学设计，推进磁性课堂研究</w:t>
      </w:r>
      <w:r>
        <w:rPr>
          <w:rFonts w:hint="eastAsia" w:ascii="宋体" w:hAnsi="宋体"/>
          <w:szCs w:val="21"/>
        </w:rPr>
        <w:t>”，</w:t>
      </w:r>
      <w:r>
        <w:rPr>
          <w:rFonts w:hint="eastAsia" w:ascii="宋体" w:hAnsi="宋体" w:cs="Arial Unicode MS"/>
          <w:kern w:val="0"/>
          <w:szCs w:val="21"/>
        </w:rPr>
        <w:t>培训内容有</w:t>
      </w:r>
      <w:r>
        <w:rPr>
          <w:rFonts w:hint="eastAsia" w:ascii="宋体" w:hAnsi="宋体"/>
          <w:szCs w:val="21"/>
        </w:rPr>
        <w:t>“单元教学设计”系列培训、“命题专项能力”培训等。</w:t>
      </w:r>
    </w:p>
    <w:p>
      <w:pPr>
        <w:numPr>
          <w:ilvl w:val="0"/>
          <w:numId w:val="0"/>
        </w:numPr>
        <w:spacing w:line="360" w:lineRule="auto"/>
        <w:ind w:firstLine="420" w:firstLineChars="200"/>
        <w:rPr>
          <w:rFonts w:hint="eastAsia" w:ascii="宋体" w:hAnsi="宋体"/>
          <w:szCs w:val="21"/>
        </w:rPr>
      </w:pPr>
      <w:r>
        <w:rPr>
          <w:rFonts w:hint="eastAsia" w:ascii="宋体" w:hAnsi="宋体"/>
          <w:szCs w:val="21"/>
          <w:lang w:eastAsia="zh-CN"/>
        </w:rPr>
        <w:t>全员</w:t>
      </w:r>
      <w:r>
        <w:rPr>
          <w:rFonts w:hint="eastAsia" w:ascii="宋体" w:hAnsi="宋体"/>
          <w:szCs w:val="21"/>
        </w:rPr>
        <w:t>培训</w:t>
      </w:r>
      <w:r>
        <w:rPr>
          <w:rFonts w:hint="eastAsia" w:ascii="宋体" w:hAnsi="宋体"/>
          <w:szCs w:val="21"/>
          <w:lang w:eastAsia="zh-CN"/>
        </w:rPr>
        <w:t>还</w:t>
      </w:r>
      <w:r>
        <w:rPr>
          <w:rFonts w:hint="eastAsia" w:ascii="宋体" w:hAnsi="宋体"/>
          <w:szCs w:val="21"/>
        </w:rPr>
        <w:t>拓展到</w:t>
      </w:r>
      <w:r>
        <w:rPr>
          <w:rFonts w:hint="eastAsia" w:ascii="宋体" w:hAnsi="宋体"/>
          <w:szCs w:val="21"/>
          <w:lang w:eastAsia="zh-CN"/>
        </w:rPr>
        <w:t>了</w:t>
      </w:r>
      <w:r>
        <w:rPr>
          <w:rFonts w:hint="eastAsia" w:ascii="宋体" w:hAnsi="宋体" w:cs="宋体"/>
          <w:kern w:val="0"/>
          <w:szCs w:val="21"/>
        </w:rPr>
        <w:t>联盟、学区</w:t>
      </w:r>
      <w:r>
        <w:rPr>
          <w:rFonts w:hint="eastAsia" w:ascii="宋体" w:hAnsi="宋体" w:cs="宋体"/>
          <w:kern w:val="0"/>
          <w:szCs w:val="21"/>
          <w:lang w:eastAsia="zh-CN"/>
        </w:rPr>
        <w:t>范围。</w:t>
      </w:r>
      <w:r>
        <w:rPr>
          <w:rFonts w:hint="eastAsia" w:ascii="宋体" w:hAnsi="宋体" w:cs="宋体"/>
          <w:kern w:val="0"/>
          <w:szCs w:val="21"/>
        </w:rPr>
        <w:t>在培训中，以微信群“慧雅</w:t>
      </w:r>
      <w:r>
        <w:rPr>
          <w:rFonts w:hint="eastAsia" w:ascii="宋体" w:hAnsi="宋体" w:cs="宋体"/>
          <w:kern w:val="0"/>
          <w:szCs w:val="21"/>
          <w:lang w:eastAsia="zh-CN"/>
        </w:rPr>
        <w:t>论</w:t>
      </w:r>
      <w:r>
        <w:rPr>
          <w:rFonts w:hint="eastAsia" w:ascii="宋体" w:hAnsi="宋体" w:cs="宋体"/>
          <w:kern w:val="0"/>
          <w:szCs w:val="21"/>
        </w:rPr>
        <w:t>坛”为支点，拓宽</w:t>
      </w:r>
      <w:r>
        <w:rPr>
          <w:rFonts w:hint="eastAsia" w:ascii="宋体" w:hAnsi="宋体" w:cs="宋体"/>
          <w:kern w:val="0"/>
          <w:szCs w:val="21"/>
          <w:lang w:eastAsia="zh-CN"/>
        </w:rPr>
        <w:t>了</w:t>
      </w:r>
      <w:r>
        <w:rPr>
          <w:rFonts w:hint="eastAsia" w:ascii="宋体" w:hAnsi="宋体" w:cs="宋体"/>
          <w:kern w:val="0"/>
          <w:szCs w:val="21"/>
        </w:rPr>
        <w:t>培训交流的途径，</w:t>
      </w:r>
      <w:r>
        <w:rPr>
          <w:rFonts w:hint="eastAsia" w:ascii="宋体" w:hAnsi="宋体" w:cs="宋体"/>
          <w:kern w:val="0"/>
          <w:szCs w:val="21"/>
          <w:lang w:eastAsia="zh-CN"/>
        </w:rPr>
        <w:t>形成了《磁性讲堂</w:t>
      </w:r>
      <w:r>
        <w:rPr>
          <w:rFonts w:hint="eastAsia" w:ascii="宋体" w:hAnsi="宋体" w:cs="宋体"/>
          <w:kern w:val="0"/>
          <w:szCs w:val="21"/>
          <w:lang w:val="en-US" w:eastAsia="zh-CN"/>
        </w:rPr>
        <w:t xml:space="preserve"> </w:t>
      </w:r>
      <w:r>
        <w:rPr>
          <w:rFonts w:hint="eastAsia" w:ascii="宋体" w:hAnsi="宋体" w:cs="宋体"/>
          <w:kern w:val="0"/>
          <w:szCs w:val="21"/>
          <w:lang w:eastAsia="zh-CN"/>
        </w:rPr>
        <w:t>慧雅论坛——校本培训实录》。</w:t>
      </w:r>
    </w:p>
    <w:p>
      <w:pPr>
        <w:spacing w:line="360" w:lineRule="auto"/>
        <w:rPr>
          <w:rFonts w:ascii="宋体" w:hAnsi="宋体" w:cs="宋体"/>
          <w:b/>
          <w:bCs/>
          <w:szCs w:val="21"/>
        </w:rPr>
      </w:pPr>
      <w:r>
        <w:rPr>
          <w:rFonts w:hint="eastAsia" w:ascii="宋体" w:hAnsi="宋体" w:cs="宋体"/>
          <w:b/>
          <w:bCs/>
          <w:szCs w:val="21"/>
          <w:lang w:eastAsia="zh-CN"/>
        </w:rPr>
        <w:t>二、</w:t>
      </w:r>
      <w:r>
        <w:rPr>
          <w:rFonts w:hint="eastAsia" w:ascii="宋体" w:hAnsi="宋体" w:cs="宋体"/>
          <w:b/>
          <w:bCs/>
          <w:szCs w:val="21"/>
        </w:rPr>
        <w:t>“私人订制”——满足教师个性需求</w:t>
      </w:r>
    </w:p>
    <w:p>
      <w:pPr>
        <w:spacing w:line="360" w:lineRule="auto"/>
        <w:ind w:firstLine="315" w:firstLineChars="150"/>
        <w:rPr>
          <w:rFonts w:ascii="宋体" w:hAnsi="宋体" w:cs="宋体"/>
          <w:szCs w:val="21"/>
        </w:rPr>
      </w:pPr>
      <w:r>
        <w:rPr>
          <w:rFonts w:hint="eastAsia" w:ascii="宋体" w:hAnsi="宋体" w:cs="宋体"/>
          <w:szCs w:val="21"/>
        </w:rPr>
        <w:t>学校根据各类教师的实际需求，研究确定相应的培训项目并组建若干培训小组，为教师提供专门化的培训和指导。如科研论文撰写、课题研究、专项活动组织策划、个人教育教学经验的提炼总结等等。有共同发展需求的老师在一起培训学习，合作互助，满足教师的个性化需求，提高了培训的针对性和实效性。近几年重点推进信息技术与“磁性”课堂的整合，成立“微课设计与制作”、“手机同屏技术”</w:t>
      </w:r>
      <w:r>
        <w:rPr>
          <w:rFonts w:hint="eastAsia" w:ascii="宋体" w:hAnsi="宋体" w:cs="宋体"/>
          <w:szCs w:val="21"/>
          <w:lang w:eastAsia="zh-CN"/>
        </w:rPr>
        <w:t>等</w:t>
      </w:r>
      <w:r>
        <w:rPr>
          <w:rFonts w:hint="eastAsia" w:ascii="宋体" w:hAnsi="宋体" w:cs="宋体"/>
          <w:szCs w:val="21"/>
        </w:rPr>
        <w:t>项目小组，聘请相关专家为积极要求提升信息技术应用能力的学科教师进行培训。</w:t>
      </w:r>
      <w:r>
        <w:rPr>
          <w:rFonts w:hint="eastAsia" w:ascii="宋体" w:hAnsi="宋体"/>
          <w:szCs w:val="21"/>
        </w:rPr>
        <w:t>在嘉定区第二届微课设计与制作</w:t>
      </w:r>
      <w:r>
        <w:rPr>
          <w:rFonts w:hint="eastAsia" w:ascii="宋体" w:hAnsi="宋体"/>
          <w:szCs w:val="21"/>
          <w:lang w:eastAsia="zh-CN"/>
        </w:rPr>
        <w:t>评比</w:t>
      </w:r>
      <w:r>
        <w:rPr>
          <w:rFonts w:hint="eastAsia" w:ascii="宋体" w:hAnsi="宋体"/>
          <w:szCs w:val="21"/>
        </w:rPr>
        <w:t>中，我校</w:t>
      </w:r>
      <w:r>
        <w:rPr>
          <w:rFonts w:hint="eastAsia" w:ascii="宋体" w:hAnsi="宋体"/>
          <w:szCs w:val="21"/>
          <w:lang w:eastAsia="zh-CN"/>
        </w:rPr>
        <w:t>有</w:t>
      </w:r>
      <w:r>
        <w:rPr>
          <w:rFonts w:hint="eastAsia" w:ascii="宋体" w:hAnsi="宋体"/>
          <w:szCs w:val="21"/>
        </w:rPr>
        <w:t>11位教师参评</w:t>
      </w:r>
      <w:r>
        <w:rPr>
          <w:rFonts w:hint="eastAsia" w:ascii="宋体" w:hAnsi="宋体"/>
          <w:szCs w:val="21"/>
          <w:lang w:eastAsia="zh-CN"/>
        </w:rPr>
        <w:t>，</w:t>
      </w:r>
      <w:r>
        <w:rPr>
          <w:rFonts w:hint="eastAsia" w:ascii="宋体" w:hAnsi="宋体"/>
          <w:szCs w:val="21"/>
          <w:lang w:val="en-US" w:eastAsia="zh-CN"/>
        </w:rPr>
        <w:t>5</w:t>
      </w:r>
      <w:r>
        <w:rPr>
          <w:rFonts w:hint="eastAsia" w:ascii="宋体" w:hAnsi="宋体"/>
          <w:szCs w:val="21"/>
        </w:rPr>
        <w:t>位教师</w:t>
      </w:r>
      <w:r>
        <w:rPr>
          <w:rFonts w:hint="eastAsia" w:ascii="宋体" w:hAnsi="宋体"/>
          <w:szCs w:val="21"/>
          <w:lang w:eastAsia="zh-CN"/>
        </w:rPr>
        <w:t>获奖</w:t>
      </w:r>
      <w:r>
        <w:rPr>
          <w:rFonts w:hint="eastAsia" w:ascii="宋体" w:hAnsi="宋体"/>
          <w:szCs w:val="21"/>
        </w:rPr>
        <w:t>。</w:t>
      </w:r>
    </w:p>
    <w:p>
      <w:pPr>
        <w:spacing w:line="360" w:lineRule="auto"/>
        <w:rPr>
          <w:rFonts w:ascii="宋体" w:hAnsi="宋体" w:cs="宋体"/>
          <w:b/>
          <w:bCs/>
          <w:szCs w:val="21"/>
        </w:rPr>
      </w:pPr>
      <w:r>
        <w:rPr>
          <w:rFonts w:hint="eastAsia" w:ascii="宋体" w:hAnsi="宋体" w:cs="宋体"/>
          <w:b/>
          <w:bCs/>
          <w:szCs w:val="21"/>
          <w:lang w:eastAsia="zh-CN"/>
        </w:rPr>
        <w:t>三、</w:t>
      </w:r>
      <w:r>
        <w:rPr>
          <w:rFonts w:hint="eastAsia" w:ascii="宋体" w:hAnsi="宋体" w:cs="宋体"/>
          <w:b/>
          <w:bCs/>
          <w:szCs w:val="21"/>
        </w:rPr>
        <w:t>师徒结对——职初期新教师培训</w:t>
      </w:r>
    </w:p>
    <w:p>
      <w:pPr>
        <w:spacing w:line="360" w:lineRule="auto"/>
        <w:ind w:firstLine="420" w:firstLineChars="200"/>
        <w:rPr>
          <w:rFonts w:ascii="宋体" w:hAnsi="宋体" w:cs="宋体"/>
          <w:szCs w:val="21"/>
        </w:rPr>
      </w:pPr>
      <w:r>
        <w:rPr>
          <w:rFonts w:hint="eastAsia" w:ascii="宋体" w:hAnsi="宋体" w:cs="宋体"/>
          <w:szCs w:val="21"/>
        </w:rPr>
        <w:t>教龄不满两年的新教师以师徒结对形式接受成熟教师的专业引领（含班主任工作），师徒签约，制定带教计划，进行规范的校内职初培训和指导，力争使这些教师在入职初期就能站稳讲台，快速成长为“教坛新秀”型优秀青年教师。</w:t>
      </w:r>
    </w:p>
    <w:p>
      <w:pPr>
        <w:widowControl/>
        <w:shd w:val="clear" w:color="auto" w:fill="FFFFFF"/>
        <w:spacing w:line="360" w:lineRule="auto"/>
        <w:ind w:firstLine="420" w:firstLineChars="200"/>
        <w:jc w:val="left"/>
        <w:rPr>
          <w:rFonts w:ascii="宋体" w:hAnsi="宋体" w:cs="宋体"/>
          <w:szCs w:val="21"/>
          <w:shd w:val="clear" w:color="auto" w:fill="FFFFFF"/>
        </w:rPr>
      </w:pPr>
      <w:r>
        <w:rPr>
          <w:rFonts w:hint="eastAsia" w:ascii="宋体" w:hAnsi="宋体" w:cs="宋体"/>
          <w:szCs w:val="21"/>
          <w:shd w:val="clear" w:color="auto" w:fill="FFFFFF"/>
        </w:rPr>
        <w:t>作为嘉定区</w:t>
      </w:r>
      <w:r>
        <w:rPr>
          <w:rFonts w:hint="eastAsia" w:ascii="宋体" w:hAnsi="宋体" w:cs="宋体"/>
          <w:kern w:val="0"/>
          <w:szCs w:val="21"/>
          <w:shd w:val="clear" w:color="auto" w:fill="FFFFFF"/>
        </w:rPr>
        <w:t>见习教师规范化培训基地学校</w:t>
      </w:r>
      <w:r>
        <w:rPr>
          <w:rFonts w:hint="eastAsia" w:ascii="宋体" w:hAnsi="宋体" w:cs="宋体"/>
          <w:kern w:val="0"/>
          <w:szCs w:val="21"/>
          <w:shd w:val="clear" w:color="auto" w:fill="FFFFFF"/>
          <w:lang w:eastAsia="zh-CN"/>
        </w:rPr>
        <w:t>，</w:t>
      </w:r>
      <w:r>
        <w:rPr>
          <w:rFonts w:hint="eastAsia" w:ascii="宋体" w:hAnsi="宋体" w:cs="宋体"/>
          <w:szCs w:val="21"/>
        </w:rPr>
        <w:t>为我校及学区内其他三所学校</w:t>
      </w:r>
      <w:r>
        <w:rPr>
          <w:rFonts w:hint="eastAsia" w:ascii="宋体" w:hAnsi="宋体" w:cs="宋体"/>
          <w:szCs w:val="21"/>
          <w:shd w:val="clear" w:color="auto" w:fill="FFFFFF"/>
        </w:rPr>
        <w:t>的</w:t>
      </w:r>
      <w:r>
        <w:rPr>
          <w:rFonts w:hint="eastAsia" w:ascii="宋体" w:hAnsi="宋体" w:cs="宋体"/>
          <w:kern w:val="0"/>
          <w:szCs w:val="21"/>
          <w:shd w:val="clear" w:color="auto" w:fill="FFFFFF"/>
        </w:rPr>
        <w:t>见习教师提供学科教学和班主任工作的规范化培训指导，通过此项培训，实现</w:t>
      </w:r>
      <w:r>
        <w:rPr>
          <w:rFonts w:hint="eastAsia" w:ascii="宋体" w:hAnsi="宋体" w:cs="宋体"/>
          <w:szCs w:val="21"/>
          <w:shd w:val="clear" w:color="auto" w:fill="FFFFFF"/>
        </w:rPr>
        <w:t>见习教师和带教导师相互促进，共同提高。</w:t>
      </w:r>
    </w:p>
    <w:p>
      <w:pPr>
        <w:spacing w:line="360" w:lineRule="auto"/>
        <w:rPr>
          <w:rFonts w:ascii="宋体" w:hAnsi="宋体" w:cs="宋体"/>
          <w:b/>
          <w:bCs/>
          <w:szCs w:val="21"/>
        </w:rPr>
      </w:pPr>
      <w:r>
        <w:rPr>
          <w:rFonts w:hint="eastAsia" w:ascii="宋体" w:hAnsi="宋体" w:cs="宋体"/>
          <w:b/>
          <w:bCs/>
          <w:szCs w:val="21"/>
          <w:lang w:eastAsia="zh-CN"/>
        </w:rPr>
        <w:t>四、</w:t>
      </w:r>
      <w:r>
        <w:rPr>
          <w:rFonts w:hint="eastAsia" w:ascii="宋体" w:hAnsi="宋体" w:cs="宋体"/>
          <w:b/>
          <w:bCs/>
          <w:szCs w:val="21"/>
        </w:rPr>
        <w:t>学科指导——成长期青年教师培训</w:t>
      </w:r>
    </w:p>
    <w:p>
      <w:pPr>
        <w:spacing w:line="360" w:lineRule="auto"/>
        <w:ind w:firstLine="315" w:firstLineChars="150"/>
        <w:rPr>
          <w:rFonts w:ascii="宋体" w:hAnsi="宋体" w:cs="宋体"/>
          <w:szCs w:val="21"/>
        </w:rPr>
      </w:pPr>
      <w:r>
        <w:rPr>
          <w:rFonts w:hint="eastAsia" w:ascii="宋体" w:hAnsi="宋体" w:cs="Arial"/>
          <w:kern w:val="0"/>
          <w:szCs w:val="21"/>
        </w:rPr>
        <w:t>聘请</w:t>
      </w:r>
      <w:r>
        <w:rPr>
          <w:rFonts w:hint="eastAsia"/>
          <w:szCs w:val="21"/>
        </w:rPr>
        <w:t>语文、数学、英语等学科专家，为青年教师专业发展提供有效指导，助力学科建设。学科专家</w:t>
      </w:r>
      <w:r>
        <w:rPr>
          <w:rFonts w:hint="eastAsia"/>
          <w:szCs w:val="21"/>
          <w:lang w:eastAsia="zh-CN"/>
        </w:rPr>
        <w:t>们</w:t>
      </w:r>
      <w:r>
        <w:rPr>
          <w:rFonts w:hint="eastAsia" w:ascii="宋体" w:hAnsi="宋体" w:cs="Arial"/>
          <w:kern w:val="0"/>
          <w:szCs w:val="21"/>
        </w:rPr>
        <w:t>帮助青年教师制订发展规划，</w:t>
      </w:r>
      <w:r>
        <w:rPr>
          <w:rFonts w:hint="eastAsia" w:ascii="宋体" w:hAnsi="宋体" w:cs="Arial"/>
          <w:kern w:val="0"/>
          <w:szCs w:val="21"/>
          <w:lang w:eastAsia="zh-CN"/>
        </w:rPr>
        <w:t>合理规划专业发展的路径。此外，</w:t>
      </w:r>
      <w:r>
        <w:rPr>
          <w:rFonts w:hint="eastAsia" w:ascii="宋体" w:hAnsi="宋体" w:cs="Arial"/>
          <w:kern w:val="0"/>
          <w:szCs w:val="21"/>
        </w:rPr>
        <w:t>加强听课诊断指导，开设专题讲座，并提供外出学习观摩的机会，</w:t>
      </w:r>
      <w:r>
        <w:rPr>
          <w:rFonts w:hint="eastAsia" w:ascii="宋体" w:hAnsi="宋体" w:cs="宋体"/>
          <w:szCs w:val="21"/>
        </w:rPr>
        <w:t xml:space="preserve">为他们的脱颖而出创造良好的条件，帮助他们成长为教学骨干。 </w:t>
      </w:r>
    </w:p>
    <w:p>
      <w:pPr>
        <w:spacing w:line="360" w:lineRule="auto"/>
        <w:rPr>
          <w:rFonts w:ascii="宋体" w:hAnsi="宋体" w:cs="宋体"/>
          <w:b/>
          <w:bCs/>
          <w:szCs w:val="21"/>
        </w:rPr>
      </w:pPr>
      <w:r>
        <w:rPr>
          <w:rFonts w:hint="eastAsia" w:ascii="宋体" w:hAnsi="宋体" w:cs="宋体"/>
          <w:b/>
          <w:bCs/>
          <w:szCs w:val="21"/>
        </w:rPr>
        <w:t xml:space="preserve"> </w:t>
      </w:r>
      <w:r>
        <w:rPr>
          <w:rFonts w:hint="eastAsia" w:ascii="宋体" w:hAnsi="宋体" w:cs="宋体"/>
          <w:b/>
          <w:bCs/>
          <w:szCs w:val="21"/>
          <w:lang w:eastAsia="zh-CN"/>
        </w:rPr>
        <w:t>五、</w:t>
      </w:r>
      <w:r>
        <w:rPr>
          <w:rFonts w:hint="eastAsia" w:ascii="宋体" w:hAnsi="宋体" w:cs="宋体"/>
          <w:b/>
          <w:bCs/>
          <w:szCs w:val="21"/>
        </w:rPr>
        <w:t>专家导航——成熟期骨干教师培训</w:t>
      </w:r>
    </w:p>
    <w:p>
      <w:pPr>
        <w:spacing w:line="360" w:lineRule="auto"/>
        <w:rPr>
          <w:szCs w:val="21"/>
        </w:rPr>
      </w:pPr>
      <w:r>
        <w:rPr>
          <w:rFonts w:hint="eastAsia" w:ascii="宋体" w:hAnsi="宋体" w:cs="Tahoma"/>
          <w:kern w:val="0"/>
          <w:szCs w:val="21"/>
        </w:rPr>
        <w:t xml:space="preserve">   为培养一批</w:t>
      </w:r>
      <w:r>
        <w:rPr>
          <w:rFonts w:hint="eastAsia" w:ascii="宋体" w:hAnsi="宋体" w:cs="宋体"/>
          <w:szCs w:val="21"/>
        </w:rPr>
        <w:t>高端教师（如区学科带头人、区骨干教师等），学校创新人才培养机制，从</w:t>
      </w:r>
      <w:r>
        <w:rPr>
          <w:rFonts w:hint="eastAsia" w:ascii="宋体" w:hAnsi="宋体" w:cs="Tahoma"/>
          <w:kern w:val="0"/>
          <w:szCs w:val="21"/>
        </w:rPr>
        <w:t>2015年9月起成立</w:t>
      </w:r>
      <w:r>
        <w:rPr>
          <w:rFonts w:hint="eastAsia" w:ascii="宋体" w:hAnsi="宋体"/>
          <w:szCs w:val="21"/>
        </w:rPr>
        <w:t>四个校“名师工作室”开展</w:t>
      </w:r>
      <w:r>
        <w:rPr>
          <w:rFonts w:hint="eastAsia" w:ascii="宋体" w:hAnsi="宋体" w:cs="宋体"/>
          <w:color w:val="000000"/>
          <w:kern w:val="0"/>
          <w:szCs w:val="21"/>
        </w:rPr>
        <w:t>学科带教（</w:t>
      </w:r>
      <w:r>
        <w:rPr>
          <w:rFonts w:hint="eastAsia" w:ascii="宋体" w:hAnsi="宋体"/>
          <w:szCs w:val="21"/>
        </w:rPr>
        <w:t>“王建梅英语工作室”、“沈志雄数学工作室”、“徐永光德育工作室”和“蔡青桔班主任工作室”）</w:t>
      </w:r>
      <w:r>
        <w:rPr>
          <w:rFonts w:hint="eastAsia" w:ascii="宋体" w:hAnsi="宋体" w:cs="宋体"/>
          <w:color w:val="000000"/>
          <w:kern w:val="0"/>
          <w:szCs w:val="21"/>
        </w:rPr>
        <w:t>。由</w:t>
      </w:r>
      <w:r>
        <w:rPr>
          <w:rFonts w:hint="eastAsia" w:ascii="宋体" w:hAnsi="宋体" w:cs="Arial"/>
          <w:kern w:val="0"/>
          <w:szCs w:val="21"/>
        </w:rPr>
        <w:t>校内名优教师担任主持人，</w:t>
      </w:r>
      <w:r>
        <w:rPr>
          <w:rFonts w:hint="eastAsia" w:ascii="宋体" w:hAnsi="宋体"/>
          <w:szCs w:val="21"/>
        </w:rPr>
        <w:t>聘请市、区知名学科专家担任导师，</w:t>
      </w:r>
      <w:r>
        <w:rPr>
          <w:rFonts w:hint="eastAsia"/>
          <w:szCs w:val="21"/>
        </w:rPr>
        <w:t>为我校主动谋求专业再提升的优秀教师（高级教师、骨干教师）诊断导航、搭建平台。</w:t>
      </w:r>
    </w:p>
    <w:p>
      <w:pPr>
        <w:spacing w:line="360" w:lineRule="auto"/>
        <w:rPr>
          <w:szCs w:val="21"/>
        </w:rPr>
      </w:pPr>
      <w:r>
        <w:rPr>
          <w:rFonts w:hint="eastAsia"/>
          <w:szCs w:val="21"/>
        </w:rPr>
        <w:t xml:space="preserve">   培训融入</w:t>
      </w:r>
      <w:r>
        <w:rPr>
          <w:rFonts w:hint="eastAsia" w:ascii="宋体" w:hAnsi="宋体"/>
          <w:szCs w:val="21"/>
        </w:rPr>
        <w:t>“师徒结对”和“私人订制”的形式，学员与</w:t>
      </w:r>
      <w:r>
        <w:rPr>
          <w:rFonts w:hint="eastAsia" w:ascii="宋体" w:hAnsi="宋体" w:cs="Tahoma"/>
          <w:szCs w:val="21"/>
        </w:rPr>
        <w:t>市</w:t>
      </w:r>
      <w:r>
        <w:rPr>
          <w:rFonts w:hint="eastAsia" w:ascii="宋体" w:hAnsi="宋体"/>
          <w:szCs w:val="21"/>
        </w:rPr>
        <w:t>英语名师基地、</w:t>
      </w:r>
      <w:r>
        <w:rPr>
          <w:rFonts w:hint="eastAsia" w:ascii="宋体" w:hAnsi="宋体" w:cs="Tahoma"/>
          <w:szCs w:val="21"/>
        </w:rPr>
        <w:t>市</w:t>
      </w:r>
      <w:r>
        <w:rPr>
          <w:rFonts w:hint="eastAsia" w:ascii="宋体" w:hAnsi="宋体"/>
          <w:szCs w:val="21"/>
        </w:rPr>
        <w:t>德育实训基地的优秀学员结成师徒对子，开展 “一对一”零距离指导；根据学员的实际需求，提供个性化的培训和指导</w:t>
      </w:r>
      <w:r>
        <w:rPr>
          <w:rFonts w:hint="eastAsia"/>
          <w:szCs w:val="21"/>
        </w:rPr>
        <w:t>。</w:t>
      </w:r>
    </w:p>
    <w:p>
      <w:pPr>
        <w:spacing w:line="360" w:lineRule="auto"/>
        <w:ind w:firstLine="420" w:firstLineChars="200"/>
        <w:rPr>
          <w:rFonts w:hint="eastAsia" w:ascii="宋体" w:hAnsi="宋体"/>
          <w:kern w:val="0"/>
          <w:szCs w:val="21"/>
        </w:rPr>
      </w:pPr>
      <w:r>
        <w:rPr>
          <w:rFonts w:hint="eastAsia" w:ascii="宋体" w:hAnsi="宋体"/>
          <w:szCs w:val="21"/>
        </w:rPr>
        <w:t>四个工作室</w:t>
      </w:r>
      <w:r>
        <w:rPr>
          <w:rFonts w:hint="eastAsia"/>
          <w:szCs w:val="21"/>
        </w:rPr>
        <w:t>依托各类</w:t>
      </w:r>
      <w:r>
        <w:rPr>
          <w:rFonts w:hint="eastAsia" w:ascii="宋体" w:hAnsi="宋体"/>
          <w:szCs w:val="21"/>
        </w:rPr>
        <w:t>优质资源，</w:t>
      </w:r>
      <w:r>
        <w:rPr>
          <w:rFonts w:hint="eastAsia"/>
          <w:szCs w:val="21"/>
        </w:rPr>
        <w:t>围绕</w:t>
      </w:r>
      <w:r>
        <w:rPr>
          <w:rFonts w:hint="eastAsia"/>
          <w:bCs/>
          <w:szCs w:val="21"/>
        </w:rPr>
        <w:t>研修主题，采用灵活有效的培训方式，</w:t>
      </w:r>
      <w:r>
        <w:rPr>
          <w:rFonts w:hint="eastAsia"/>
          <w:szCs w:val="21"/>
        </w:rPr>
        <w:t>开展了理论学习、外出观摩、课堂实践、课题研究、专题论坛、读书交流等系列活动，使</w:t>
      </w:r>
      <w:r>
        <w:rPr>
          <w:rFonts w:hint="eastAsia" w:ascii="仿宋_GB2312"/>
          <w:szCs w:val="21"/>
        </w:rPr>
        <w:t>学员逐渐从</w:t>
      </w:r>
      <w:r>
        <w:rPr>
          <w:rFonts w:hint="eastAsia" w:ascii="宋体" w:hAnsi="宋体"/>
          <w:szCs w:val="21"/>
        </w:rPr>
        <w:t>经验型、成熟型教师向专家型、研究型教师转变。校“名师工作室”建设也带动了</w:t>
      </w:r>
      <w:r>
        <w:rPr>
          <w:rFonts w:hint="eastAsia" w:ascii="宋体" w:hAnsi="宋体"/>
          <w:kern w:val="0"/>
          <w:szCs w:val="21"/>
        </w:rPr>
        <w:t>校本研修和特色学科建设。如：区首届品质教育学术节初中英语专场活动就是由“英语工作室”策划开展的，工作室</w:t>
      </w:r>
      <w:r>
        <w:rPr>
          <w:rFonts w:hint="eastAsia" w:ascii="宋体" w:hAnsi="宋体"/>
          <w:kern w:val="0"/>
          <w:szCs w:val="21"/>
          <w:lang w:eastAsia="zh-CN"/>
        </w:rPr>
        <w:t>学</w:t>
      </w:r>
      <w:r>
        <w:rPr>
          <w:rFonts w:hint="eastAsia" w:ascii="宋体" w:hAnsi="宋体"/>
          <w:kern w:val="0"/>
          <w:szCs w:val="21"/>
        </w:rPr>
        <w:t>员高蕾老师执教</w:t>
      </w:r>
      <w:r>
        <w:rPr>
          <w:rFonts w:hint="eastAsia" w:ascii="宋体" w:hAnsi="宋体"/>
          <w:kern w:val="0"/>
          <w:szCs w:val="21"/>
          <w:lang w:eastAsia="zh-CN"/>
        </w:rPr>
        <w:t>的</w:t>
      </w:r>
      <w:r>
        <w:rPr>
          <w:rFonts w:hint="eastAsia" w:ascii="宋体" w:hAnsi="宋体"/>
          <w:kern w:val="0"/>
          <w:szCs w:val="21"/>
        </w:rPr>
        <w:t>课外阅读指导课</w:t>
      </w:r>
      <w:r>
        <w:rPr>
          <w:rFonts w:hint="eastAsia" w:ascii="宋体" w:hAnsi="宋体"/>
          <w:kern w:val="0"/>
          <w:szCs w:val="21"/>
          <w:lang w:eastAsia="zh-CN"/>
        </w:rPr>
        <w:t>和全体学</w:t>
      </w:r>
      <w:r>
        <w:rPr>
          <w:rFonts w:hint="eastAsia" w:ascii="宋体" w:hAnsi="宋体"/>
          <w:kern w:val="0"/>
          <w:szCs w:val="21"/>
        </w:rPr>
        <w:t>员</w:t>
      </w:r>
      <w:r>
        <w:rPr>
          <w:rFonts w:hint="eastAsia" w:ascii="宋体" w:hAnsi="宋体"/>
          <w:kern w:val="0"/>
          <w:szCs w:val="21"/>
          <w:lang w:eastAsia="zh-CN"/>
        </w:rPr>
        <w:t>开设的</w:t>
      </w:r>
      <w:r>
        <w:rPr>
          <w:rFonts w:hint="eastAsia" w:ascii="宋体" w:hAnsi="宋体"/>
          <w:kern w:val="0"/>
          <w:szCs w:val="21"/>
        </w:rPr>
        <w:t>微论坛</w:t>
      </w:r>
      <w:r>
        <w:rPr>
          <w:rFonts w:hint="eastAsia" w:ascii="宋体" w:hAnsi="宋体"/>
          <w:kern w:val="0"/>
          <w:szCs w:val="21"/>
          <w:lang w:eastAsia="zh-CN"/>
        </w:rPr>
        <w:t>全面</w:t>
      </w:r>
      <w:r>
        <w:rPr>
          <w:rFonts w:hint="eastAsia" w:ascii="宋体" w:hAnsi="宋体"/>
          <w:kern w:val="0"/>
          <w:szCs w:val="21"/>
        </w:rPr>
        <w:t>展示</w:t>
      </w:r>
      <w:r>
        <w:rPr>
          <w:rFonts w:hint="eastAsia" w:ascii="宋体" w:hAnsi="宋体"/>
          <w:kern w:val="0"/>
          <w:szCs w:val="21"/>
          <w:lang w:eastAsia="zh-CN"/>
        </w:rPr>
        <w:t>了工作室项目研究的成果。</w:t>
      </w:r>
    </w:p>
    <w:p>
      <w:pPr>
        <w:numPr>
          <w:numId w:val="0"/>
        </w:numPr>
        <w:spacing w:line="360" w:lineRule="auto"/>
        <w:rPr>
          <w:rFonts w:ascii="宋体" w:hAnsi="宋体" w:cs="宋体"/>
          <w:kern w:val="0"/>
          <w:szCs w:val="21"/>
        </w:rPr>
      </w:pPr>
      <w:r>
        <w:rPr>
          <w:rFonts w:hint="eastAsia" w:ascii="宋体" w:hAnsi="宋体" w:cs="宋体"/>
          <w:b/>
          <w:kern w:val="0"/>
          <w:szCs w:val="21"/>
          <w:lang w:eastAsia="zh-CN"/>
        </w:rPr>
        <w:t>六、</w:t>
      </w:r>
      <w:bookmarkStart w:id="0" w:name="_GoBack"/>
      <w:bookmarkEnd w:id="0"/>
      <w:r>
        <w:rPr>
          <w:rFonts w:hint="eastAsia" w:ascii="宋体" w:hAnsi="宋体" w:cs="宋体"/>
          <w:b/>
          <w:kern w:val="0"/>
          <w:szCs w:val="21"/>
        </w:rPr>
        <w:t>教工社团——</w:t>
      </w:r>
      <w:r>
        <w:rPr>
          <w:rFonts w:hint="eastAsia" w:ascii="宋体" w:hAnsi="宋体" w:cs="宋体"/>
          <w:b/>
          <w:bCs/>
          <w:kern w:val="0"/>
          <w:szCs w:val="21"/>
        </w:rPr>
        <w:t>提升教师幸福指数</w:t>
      </w:r>
    </w:p>
    <w:p>
      <w:pPr>
        <w:spacing w:line="360" w:lineRule="auto"/>
        <w:rPr>
          <w:rFonts w:ascii="宋体" w:hAnsi="宋体"/>
          <w:szCs w:val="21"/>
        </w:rPr>
      </w:pPr>
      <w:r>
        <w:rPr>
          <w:rFonts w:hint="eastAsia" w:ascii="宋体" w:hAnsi="宋体" w:cs="宋体"/>
          <w:kern w:val="0"/>
          <w:szCs w:val="21"/>
        </w:rPr>
        <w:t xml:space="preserve">   教职工的身心健康也是学校队伍建设不能忽视的一个重要方面。学校成立爱陶社、扎染社等教工社团，组织贴近教师兴趣与需求的社团活动，通过沙龙、讲座、外出考察等形式丰富的活动激发教职工</w:t>
      </w:r>
      <w:r>
        <w:rPr>
          <w:rFonts w:hint="eastAsia" w:ascii="宋体" w:hAnsi="宋体"/>
          <w:kern w:val="0"/>
          <w:szCs w:val="21"/>
        </w:rPr>
        <w:t>对工作和生活的</w:t>
      </w:r>
      <w:r>
        <w:rPr>
          <w:rFonts w:hint="eastAsia" w:ascii="宋体" w:hAnsi="宋体" w:cs="宋体"/>
          <w:kern w:val="0"/>
          <w:szCs w:val="21"/>
        </w:rPr>
        <w:t>热情，在提升幸福指数的同时，挖掘一批教师成为</w:t>
      </w:r>
      <w:r>
        <w:rPr>
          <w:rFonts w:hint="eastAsia" w:ascii="宋体" w:hAnsi="宋体" w:cs="宋体"/>
          <w:kern w:val="0"/>
          <w:szCs w:val="21"/>
          <w:lang w:eastAsia="zh-CN"/>
        </w:rPr>
        <w:t>学</w:t>
      </w:r>
      <w:r>
        <w:rPr>
          <w:rFonts w:hint="eastAsia" w:ascii="宋体" w:hAnsi="宋体" w:cs="宋体"/>
          <w:kern w:val="0"/>
          <w:szCs w:val="21"/>
        </w:rPr>
        <w:t>校特色课程</w:t>
      </w:r>
      <w:r>
        <w:rPr>
          <w:rFonts w:hint="eastAsia" w:ascii="宋体" w:hAnsi="宋体" w:cs="宋体"/>
          <w:kern w:val="0"/>
          <w:szCs w:val="21"/>
          <w:lang w:eastAsia="zh-CN"/>
        </w:rPr>
        <w:t>建设</w:t>
      </w:r>
      <w:r>
        <w:rPr>
          <w:rFonts w:hint="eastAsia" w:ascii="宋体" w:hAnsi="宋体" w:cs="宋体"/>
          <w:kern w:val="0"/>
          <w:szCs w:val="21"/>
        </w:rPr>
        <w:t>的骨干力量。</w:t>
      </w:r>
    </w:p>
    <w:p>
      <w:pPr>
        <w:spacing w:line="360" w:lineRule="auto"/>
        <w:rPr>
          <w:rFonts w:hint="eastAsia" w:ascii="宋体" w:hAnsi="宋体" w:cs="宋体"/>
          <w:color w:val="auto"/>
          <w:kern w:val="0"/>
          <w:szCs w:val="21"/>
        </w:rPr>
      </w:pPr>
      <w:r>
        <w:rPr>
          <w:rFonts w:hint="eastAsia" w:ascii="宋体" w:hAnsi="宋体" w:cs="宋体"/>
          <w:kern w:val="0"/>
          <w:szCs w:val="21"/>
        </w:rPr>
        <w:t xml:space="preserve"> </w:t>
      </w:r>
      <w:r>
        <w:rPr>
          <w:rFonts w:hint="eastAsia" w:ascii="宋体" w:hAnsi="宋体" w:cs="宋体"/>
          <w:kern w:val="0"/>
          <w:szCs w:val="21"/>
          <w:lang w:val="en-US" w:eastAsia="zh-CN"/>
        </w:rPr>
        <w:t xml:space="preserve"> </w:t>
      </w:r>
      <w:r>
        <w:rPr>
          <w:rFonts w:hint="eastAsia" w:ascii="宋体" w:hAnsi="宋体" w:cs="宋体"/>
          <w:kern w:val="0"/>
          <w:szCs w:val="21"/>
        </w:rPr>
        <w:t xml:space="preserve"> 通过“师资队伍梯队”建设，教师的专业能力和专业境界明显提升</w:t>
      </w:r>
      <w:r>
        <w:rPr>
          <w:rFonts w:hint="eastAsia" w:ascii="宋体" w:hAnsi="宋体" w:cs="宋体"/>
          <w:kern w:val="0"/>
          <w:szCs w:val="21"/>
          <w:lang w:eastAsia="zh-CN"/>
        </w:rPr>
        <w:t>，形成了一支专业厚实、富有磁性的教师团队。老师们在</w:t>
      </w:r>
      <w:r>
        <w:rPr>
          <w:rFonts w:hint="eastAsia" w:ascii="宋体" w:hAnsi="宋体"/>
          <w:szCs w:val="21"/>
        </w:rPr>
        <w:t>“师资队伍梯队建设工程”</w:t>
      </w:r>
      <w:r>
        <w:rPr>
          <w:rFonts w:hint="eastAsia" w:ascii="宋体" w:hAnsi="宋体"/>
          <w:szCs w:val="21"/>
          <w:lang w:eastAsia="zh-CN"/>
        </w:rPr>
        <w:t>中有明显的获得感、成就感和幸福感，</w:t>
      </w:r>
      <w:r>
        <w:rPr>
          <w:rFonts w:hint="eastAsia" w:ascii="宋体" w:hAnsi="宋体" w:cs="宋体"/>
          <w:color w:val="auto"/>
          <w:kern w:val="0"/>
          <w:szCs w:val="21"/>
        </w:rPr>
        <w:t>“专业自觉、主动发展”已成为江中教师精神面貌的真实写照。</w:t>
      </w:r>
    </w:p>
    <w:p>
      <w:pPr>
        <w:spacing w:line="360" w:lineRule="auto"/>
        <w:rPr>
          <w:rFonts w:ascii="宋体" w:hAnsi="宋体" w:cs="宋体"/>
          <w:kern w:val="0"/>
          <w:szCs w:val="21"/>
        </w:rPr>
      </w:pPr>
    </w:p>
    <w:p>
      <w:pPr>
        <w:spacing w:line="360" w:lineRule="auto"/>
        <w:ind w:firstLine="2311" w:firstLineChars="1100"/>
        <w:rPr>
          <w:rFonts w:hint="eastAsia" w:ascii="宋体" w:hAnsi="宋体" w:eastAsiaTheme="minorEastAsia"/>
          <w:szCs w:val="21"/>
          <w:lang w:eastAsia="zh-CN"/>
        </w:rPr>
      </w:pPr>
      <w:r>
        <w:rPr>
          <w:rFonts w:hint="eastAsia"/>
          <w:b/>
          <w:bCs/>
        </w:rPr>
        <w:t>第四部分  学科校本研修，</w:t>
      </w:r>
      <w:r>
        <w:rPr>
          <w:rFonts w:hint="eastAsia"/>
          <w:b/>
          <w:bCs/>
          <w:lang w:eastAsia="zh-CN"/>
        </w:rPr>
        <w:t>持续提升磁性课程品质</w:t>
      </w:r>
    </w:p>
    <w:p>
      <w:pPr>
        <w:spacing w:line="360" w:lineRule="auto"/>
        <w:ind w:firstLine="420" w:firstLineChars="200"/>
        <w:rPr>
          <w:rFonts w:hint="eastAsia" w:ascii="宋体" w:hAnsi="宋体" w:cs="宋体" w:eastAsiaTheme="minorEastAsia"/>
          <w:kern w:val="0"/>
          <w:szCs w:val="21"/>
          <w:lang w:eastAsia="zh-CN"/>
        </w:rPr>
      </w:pPr>
      <w:r>
        <w:rPr>
          <w:rFonts w:hint="eastAsia" w:ascii="宋体" w:hAnsi="宋体" w:cs="宋体"/>
          <w:kern w:val="0"/>
          <w:szCs w:val="21"/>
          <w:lang w:eastAsia="zh-CN"/>
        </w:rPr>
        <w:t>学校坚持以学生和教师发展为本，努力做实做优</w:t>
      </w:r>
      <w:r>
        <w:rPr>
          <w:rFonts w:hint="eastAsia" w:ascii="宋体" w:hAnsi="宋体" w:cs="宋体"/>
          <w:kern w:val="0"/>
          <w:szCs w:val="21"/>
        </w:rPr>
        <w:t>基于“磁性课堂”</w:t>
      </w:r>
      <w:r>
        <w:rPr>
          <w:rFonts w:hint="eastAsia" w:ascii="宋体" w:hAnsi="宋体" w:cs="宋体"/>
          <w:kern w:val="0"/>
          <w:szCs w:val="21"/>
          <w:lang w:eastAsia="zh-CN"/>
        </w:rPr>
        <w:t>、基于“问题解决”、基于“专题学习”、</w:t>
      </w:r>
      <w:r>
        <w:rPr>
          <w:rFonts w:hint="eastAsia" w:ascii="宋体" w:hAnsi="宋体" w:cs="宋体"/>
          <w:kern w:val="0"/>
          <w:szCs w:val="21"/>
        </w:rPr>
        <w:t>基于</w:t>
      </w:r>
      <w:r>
        <w:rPr>
          <w:rFonts w:hint="eastAsia" w:ascii="宋体" w:hAnsi="宋体" w:cs="宋体"/>
          <w:kern w:val="0"/>
          <w:szCs w:val="21"/>
          <w:lang w:eastAsia="zh-CN"/>
        </w:rPr>
        <w:t>“校际联合”</w:t>
      </w:r>
      <w:r>
        <w:rPr>
          <w:rFonts w:hint="eastAsia" w:ascii="宋体" w:hAnsi="宋体" w:cs="宋体"/>
          <w:kern w:val="0"/>
          <w:szCs w:val="21"/>
        </w:rPr>
        <w:t>的校本研修</w:t>
      </w:r>
      <w:r>
        <w:rPr>
          <w:rFonts w:hint="eastAsia" w:ascii="宋体" w:hAnsi="宋体" w:cs="宋体"/>
          <w:kern w:val="0"/>
          <w:szCs w:val="21"/>
          <w:lang w:eastAsia="zh-CN"/>
        </w:rPr>
        <w:t>，不断完善校本研修制度和方式，积极探索“有效教学”，解决教学中的实际问题，形成合作共进的教研氛围。</w:t>
      </w:r>
    </w:p>
    <w:p>
      <w:pPr>
        <w:numPr>
          <w:ilvl w:val="0"/>
          <w:numId w:val="6"/>
        </w:numPr>
        <w:spacing w:line="360" w:lineRule="auto"/>
        <w:rPr>
          <w:rFonts w:hint="eastAsia" w:ascii="宋体" w:hAnsi="宋体" w:cs="宋体"/>
          <w:b/>
          <w:bCs/>
          <w:kern w:val="0"/>
          <w:szCs w:val="21"/>
        </w:rPr>
      </w:pPr>
      <w:r>
        <w:rPr>
          <w:rFonts w:hint="eastAsia" w:ascii="宋体" w:hAnsi="宋体" w:cs="宋体"/>
          <w:b/>
          <w:bCs/>
          <w:kern w:val="0"/>
          <w:szCs w:val="21"/>
        </w:rPr>
        <w:t>教研活动制度化</w:t>
      </w:r>
    </w:p>
    <w:p>
      <w:pPr>
        <w:numPr>
          <w:ilvl w:val="0"/>
          <w:numId w:val="7"/>
        </w:numPr>
        <w:spacing w:line="360" w:lineRule="auto"/>
        <w:rPr>
          <w:rFonts w:hint="eastAsia" w:ascii="宋体" w:hAnsi="宋体" w:cs="宋体"/>
          <w:b/>
          <w:bCs/>
          <w:kern w:val="0"/>
          <w:szCs w:val="21"/>
          <w:lang w:val="en-US" w:eastAsia="zh-CN"/>
        </w:rPr>
      </w:pPr>
      <w:r>
        <w:rPr>
          <w:rFonts w:hint="eastAsia" w:ascii="宋体" w:hAnsi="宋体" w:cs="宋体"/>
          <w:b/>
          <w:bCs/>
          <w:kern w:val="0"/>
          <w:szCs w:val="21"/>
          <w:lang w:val="en-US" w:eastAsia="zh-CN"/>
        </w:rPr>
        <w:t>完善组织架构</w:t>
      </w:r>
    </w:p>
    <w:p>
      <w:pPr>
        <w:numPr>
          <w:ilvl w:val="0"/>
          <w:numId w:val="0"/>
        </w:numPr>
        <w:spacing w:line="360" w:lineRule="auto"/>
        <w:rPr>
          <w:rFonts w:hint="eastAsia" w:ascii="宋体" w:hAnsi="宋体" w:cs="宋体"/>
          <w:b w:val="0"/>
          <w:bCs w:val="0"/>
          <w:kern w:val="0"/>
          <w:szCs w:val="21"/>
          <w:lang w:val="en-US" w:eastAsia="zh-CN"/>
        </w:rPr>
      </w:pPr>
      <w:r>
        <w:rPr>
          <w:rFonts w:hint="eastAsia" w:ascii="宋体" w:hAnsi="宋体" w:cs="宋体"/>
          <w:b/>
          <w:bCs/>
          <w:kern w:val="0"/>
          <w:szCs w:val="21"/>
          <w:lang w:val="en-US" w:eastAsia="zh-CN"/>
        </w:rPr>
        <w:t xml:space="preserve">  </w:t>
      </w:r>
      <w:r>
        <w:rPr>
          <w:rFonts w:hint="eastAsia" w:ascii="宋体" w:hAnsi="宋体" w:cs="宋体"/>
          <w:b w:val="0"/>
          <w:bCs w:val="0"/>
          <w:kern w:val="0"/>
          <w:szCs w:val="21"/>
          <w:lang w:val="en-US" w:eastAsia="zh-CN"/>
        </w:rPr>
        <w:t>学校成立了十大教研组，挑选了一批有一定学术水平和研究能力、教学经验丰富、组织能力强的骨干教师担任教研组长和备课组长，并按需为部分学科配备了学科负责人。近20门学科每门都有负责人、领头羊，为学科教研活动的正常开展打好基础。</w:t>
      </w:r>
    </w:p>
    <w:p>
      <w:pPr>
        <w:numPr>
          <w:ilvl w:val="0"/>
          <w:numId w:val="7"/>
        </w:numPr>
        <w:spacing w:line="360" w:lineRule="auto"/>
        <w:ind w:left="0" w:leftChars="0" w:firstLine="0" w:firstLineChars="0"/>
        <w:rPr>
          <w:rFonts w:hint="default" w:ascii="宋体" w:hAnsi="宋体" w:cs="宋体"/>
          <w:b/>
          <w:bCs/>
          <w:kern w:val="0"/>
          <w:szCs w:val="21"/>
          <w:lang w:val="en-US" w:eastAsia="zh-CN"/>
        </w:rPr>
      </w:pPr>
      <w:r>
        <w:rPr>
          <w:rFonts w:hint="eastAsia" w:ascii="宋体" w:hAnsi="宋体" w:cs="宋体"/>
          <w:b/>
          <w:bCs/>
          <w:kern w:val="0"/>
          <w:szCs w:val="21"/>
          <w:lang w:val="en-US" w:eastAsia="zh-CN"/>
        </w:rPr>
        <w:t>开展规范教研</w:t>
      </w:r>
    </w:p>
    <w:p>
      <w:pPr>
        <w:spacing w:line="360" w:lineRule="auto"/>
        <w:rPr>
          <w:rFonts w:hint="eastAsia"/>
        </w:rPr>
      </w:pPr>
      <w:r>
        <w:t xml:space="preserve"> </w:t>
      </w:r>
      <w:r>
        <w:rPr>
          <w:rFonts w:hint="eastAsia"/>
        </w:rPr>
        <w:t xml:space="preserve">  为保障</w:t>
      </w:r>
      <w:r>
        <w:rPr>
          <w:rFonts w:hint="eastAsia"/>
          <w:lang w:eastAsia="zh-CN"/>
        </w:rPr>
        <w:t>教研活动</w:t>
      </w:r>
      <w:r>
        <w:rPr>
          <w:rFonts w:hint="eastAsia"/>
        </w:rPr>
        <w:t>的</w:t>
      </w:r>
      <w:r>
        <w:rPr>
          <w:rFonts w:hint="eastAsia"/>
          <w:lang w:eastAsia="zh-CN"/>
        </w:rPr>
        <w:t>有序</w:t>
      </w:r>
      <w:r>
        <w:rPr>
          <w:rFonts w:hint="eastAsia"/>
        </w:rPr>
        <w:t>、高效，学校</w:t>
      </w:r>
      <w:r>
        <w:rPr>
          <w:rFonts w:hint="eastAsia"/>
          <w:lang w:eastAsia="zh-CN"/>
        </w:rPr>
        <w:t>提出并落实了相关要求。</w:t>
      </w:r>
      <w:r>
        <w:rPr>
          <w:rFonts w:hint="eastAsia"/>
        </w:rPr>
        <w:t>为每个教研组安排了教研</w:t>
      </w:r>
      <w:r>
        <w:rPr>
          <w:rFonts w:hint="eastAsia"/>
          <w:lang w:eastAsia="zh-CN"/>
        </w:rPr>
        <w:t>活动（两周一次）</w:t>
      </w:r>
      <w:r>
        <w:rPr>
          <w:rFonts w:hint="eastAsia"/>
        </w:rPr>
        <w:t>和集体备课</w:t>
      </w:r>
      <w:r>
        <w:rPr>
          <w:rFonts w:hint="eastAsia"/>
          <w:lang w:eastAsia="zh-CN"/>
        </w:rPr>
        <w:t>（每周一次），并提出学校整体教研工作的方向，即定时、定点、定人（负责人和参加人员）、定方向；</w:t>
      </w:r>
      <w:r>
        <w:rPr>
          <w:rFonts w:hint="eastAsia"/>
        </w:rPr>
        <w:t>各教研组</w:t>
      </w:r>
      <w:r>
        <w:rPr>
          <w:rFonts w:hint="eastAsia"/>
          <w:lang w:eastAsia="zh-CN"/>
        </w:rPr>
        <w:t>、备课组</w:t>
      </w:r>
      <w:r>
        <w:rPr>
          <w:rFonts w:hint="eastAsia"/>
        </w:rPr>
        <w:t>在</w:t>
      </w:r>
      <w:r>
        <w:rPr>
          <w:rFonts w:hint="eastAsia"/>
          <w:lang w:eastAsia="zh-CN"/>
        </w:rPr>
        <w:t>每</w:t>
      </w:r>
      <w:r>
        <w:rPr>
          <w:rFonts w:hint="eastAsia"/>
        </w:rPr>
        <w:t>学期初</w:t>
      </w:r>
      <w:r>
        <w:rPr>
          <w:rFonts w:hint="eastAsia"/>
          <w:lang w:eastAsia="zh-CN"/>
        </w:rPr>
        <w:t>根据学校教研工作重心、学科特点、学科教学中的真实问题以及本组教师的实际需求，确定学期教研工作重点并</w:t>
      </w:r>
      <w:r>
        <w:rPr>
          <w:rFonts w:hint="eastAsia"/>
        </w:rPr>
        <w:t>制定教研活动计划，</w:t>
      </w:r>
      <w:r>
        <w:rPr>
          <w:rFonts w:hint="eastAsia"/>
          <w:lang w:eastAsia="zh-CN"/>
        </w:rPr>
        <w:t>合理安排一学期的教研活动，并围绕重点收集所需资源（网络、图书、专家等），开展系列性、主题式教研，即定重点、定计划、定资源；</w:t>
      </w:r>
      <w:r>
        <w:rPr>
          <w:rFonts w:hint="eastAsia"/>
          <w:color w:val="auto"/>
          <w:lang w:eastAsia="zh-CN"/>
        </w:rPr>
        <w:t>每次活动</w:t>
      </w:r>
      <w:r>
        <w:rPr>
          <w:rFonts w:hint="eastAsia"/>
          <w:color w:val="auto"/>
        </w:rPr>
        <w:t>有</w:t>
      </w:r>
      <w:r>
        <w:rPr>
          <w:rFonts w:hint="eastAsia"/>
          <w:color w:val="auto"/>
          <w:lang w:eastAsia="zh-CN"/>
        </w:rPr>
        <w:t>明确</w:t>
      </w:r>
      <w:r>
        <w:rPr>
          <w:rFonts w:hint="eastAsia"/>
          <w:color w:val="auto"/>
        </w:rPr>
        <w:t>主题、</w:t>
      </w:r>
      <w:r>
        <w:rPr>
          <w:rFonts w:hint="eastAsia"/>
          <w:color w:val="auto"/>
          <w:lang w:eastAsia="zh-CN"/>
        </w:rPr>
        <w:t>有预设目标、有具体内容、有交流研讨、有共性经验、有行为跟进。教学管理层的“四定”、</w:t>
      </w:r>
      <w:r>
        <w:rPr>
          <w:rFonts w:hint="eastAsia"/>
        </w:rPr>
        <w:t>教研组</w:t>
      </w:r>
      <w:r>
        <w:rPr>
          <w:rFonts w:hint="eastAsia"/>
          <w:lang w:eastAsia="zh-CN"/>
        </w:rPr>
        <w:t>学期初的“三定”以及每次教研活动的“六有”保证了学校各层次</w:t>
      </w:r>
      <w:r>
        <w:rPr>
          <w:rFonts w:hint="eastAsia"/>
        </w:rPr>
        <w:t>教研活动</w:t>
      </w:r>
      <w:r>
        <w:rPr>
          <w:rFonts w:hint="eastAsia"/>
          <w:lang w:eastAsia="zh-CN"/>
        </w:rPr>
        <w:t>的</w:t>
      </w:r>
      <w:r>
        <w:rPr>
          <w:rFonts w:hint="eastAsia"/>
        </w:rPr>
        <w:t>常态化</w:t>
      </w:r>
      <w:r>
        <w:rPr>
          <w:rFonts w:hint="eastAsia"/>
          <w:lang w:eastAsia="zh-CN"/>
        </w:rPr>
        <w:t>、规范化。</w:t>
      </w:r>
    </w:p>
    <w:p>
      <w:pPr>
        <w:numPr>
          <w:ilvl w:val="0"/>
          <w:numId w:val="7"/>
        </w:numPr>
        <w:spacing w:line="360" w:lineRule="auto"/>
        <w:ind w:left="0" w:leftChars="0" w:firstLine="0" w:firstLineChars="0"/>
        <w:rPr>
          <w:rFonts w:hint="default" w:eastAsiaTheme="minorEastAsia"/>
          <w:b/>
          <w:bCs/>
          <w:lang w:val="en-US" w:eastAsia="zh-CN"/>
        </w:rPr>
      </w:pPr>
      <w:r>
        <w:rPr>
          <w:rFonts w:hint="eastAsia"/>
          <w:b/>
          <w:bCs/>
          <w:lang w:val="en-US" w:eastAsia="zh-CN"/>
        </w:rPr>
        <w:t>组织专题学习</w:t>
      </w:r>
    </w:p>
    <w:p>
      <w:pPr>
        <w:spacing w:line="360" w:lineRule="auto"/>
        <w:ind w:firstLine="420" w:firstLineChars="200"/>
        <w:rPr>
          <w:rFonts w:hint="eastAsia"/>
          <w:b w:val="0"/>
          <w:bCs w:val="0"/>
          <w:lang w:val="en-US" w:eastAsia="zh-CN"/>
        </w:rPr>
      </w:pPr>
      <w:r>
        <w:rPr>
          <w:rFonts w:hint="eastAsia"/>
          <w:b w:val="0"/>
          <w:bCs w:val="0"/>
          <w:lang w:val="en-US" w:eastAsia="zh-CN"/>
        </w:rPr>
        <w:t>学校要求各教研组结合本学科的磁性课堂研究项目及最新的教育形势开展专题学习和研讨，把握学科发展的前沿信息和动向。如学习中考改革的总体政策和学科层面的改革要点，及如何调整应对；学习单元教学设计的相关内容；学习市教委今年9月发布的《落实义务教育阶段学生减负增效工作实施意见》、《加强义务教育学校作业管理措施》等文件及《初中作业设计与实施指导手册》等。</w:t>
      </w:r>
    </w:p>
    <w:p>
      <w:pPr>
        <w:spacing w:line="360" w:lineRule="auto"/>
        <w:ind w:firstLine="420" w:firstLineChars="200"/>
        <w:rPr>
          <w:rFonts w:hint="eastAsia" w:eastAsiaTheme="minorEastAsia"/>
          <w:lang w:eastAsia="zh-CN"/>
        </w:rPr>
      </w:pPr>
      <w:r>
        <w:rPr>
          <w:rFonts w:hint="eastAsia"/>
          <w:b w:val="0"/>
          <w:bCs w:val="0"/>
          <w:lang w:val="en-US" w:eastAsia="zh-CN"/>
        </w:rPr>
        <w:t>以英语组为例：针对从2016学年起改用</w:t>
      </w:r>
      <w:r>
        <w:rPr>
          <w:rFonts w:hint="eastAsia" w:asciiTheme="minorHAnsi" w:hAnsiTheme="minorHAnsi" w:eastAsiaTheme="minorEastAsia" w:cstheme="minorBidi"/>
          <w:b w:val="0"/>
          <w:bCs w:val="0"/>
          <w:kern w:val="2"/>
          <w:sz w:val="21"/>
          <w:szCs w:val="22"/>
          <w:lang w:val="en-US" w:eastAsia="zh-CN" w:bidi="ar-SA"/>
        </w:rPr>
        <w:t>牛津版教材</w:t>
      </w:r>
      <w:r>
        <w:rPr>
          <w:rFonts w:hint="eastAsia" w:cstheme="minorBidi"/>
          <w:b w:val="0"/>
          <w:bCs w:val="0"/>
          <w:kern w:val="2"/>
          <w:sz w:val="21"/>
          <w:szCs w:val="22"/>
          <w:lang w:val="en-US" w:eastAsia="zh-CN" w:bidi="ar-SA"/>
        </w:rPr>
        <w:t>的实际</w:t>
      </w:r>
      <w:r>
        <w:rPr>
          <w:rFonts w:hint="eastAsia" w:asciiTheme="minorHAnsi" w:hAnsiTheme="minorHAnsi" w:eastAsiaTheme="minorEastAsia" w:cstheme="minorBidi"/>
          <w:b w:val="0"/>
          <w:bCs w:val="0"/>
          <w:kern w:val="2"/>
          <w:sz w:val="21"/>
          <w:szCs w:val="22"/>
          <w:lang w:val="en-US" w:eastAsia="zh-CN" w:bidi="ar-SA"/>
        </w:rPr>
        <w:t>，</w:t>
      </w:r>
      <w:r>
        <w:rPr>
          <w:rFonts w:hint="eastAsia" w:cstheme="minorBidi"/>
          <w:b w:val="0"/>
          <w:bCs w:val="0"/>
          <w:kern w:val="2"/>
          <w:sz w:val="21"/>
          <w:szCs w:val="22"/>
          <w:lang w:val="en-US" w:eastAsia="zh-CN" w:bidi="ar-SA"/>
        </w:rPr>
        <w:t>加强了</w:t>
      </w:r>
      <w:r>
        <w:rPr>
          <w:rFonts w:hint="eastAsia" w:asciiTheme="minorHAnsi" w:hAnsiTheme="minorHAnsi" w:eastAsiaTheme="minorEastAsia" w:cstheme="minorBidi"/>
          <w:b w:val="0"/>
          <w:bCs w:val="0"/>
          <w:kern w:val="2"/>
          <w:sz w:val="21"/>
          <w:szCs w:val="22"/>
          <w:lang w:val="en-US" w:eastAsia="zh-CN" w:bidi="ar-SA"/>
        </w:rPr>
        <w:t>“牛津英语教材教法研究”</w:t>
      </w:r>
      <w:r>
        <w:rPr>
          <w:rFonts w:hint="eastAsia" w:cstheme="minorBidi"/>
          <w:b w:val="0"/>
          <w:bCs w:val="0"/>
          <w:kern w:val="2"/>
          <w:sz w:val="21"/>
          <w:szCs w:val="22"/>
          <w:lang w:val="en-US" w:eastAsia="zh-CN" w:bidi="ar-SA"/>
        </w:rPr>
        <w:t>。</w:t>
      </w:r>
      <w:r>
        <w:rPr>
          <w:rFonts w:hint="eastAsia"/>
          <w:lang w:eastAsia="zh-CN"/>
        </w:rPr>
        <w:t>邀请市级英语专家作</w:t>
      </w:r>
      <w:r>
        <w:rPr>
          <w:rFonts w:hint="eastAsia"/>
        </w:rPr>
        <w:t>《</w:t>
      </w:r>
      <w:r>
        <w:rPr>
          <w:rFonts w:hint="eastAsia"/>
          <w:lang w:eastAsia="zh-CN"/>
        </w:rPr>
        <w:t>浅谈</w:t>
      </w:r>
      <w:r>
        <w:rPr>
          <w:rFonts w:hint="eastAsia"/>
        </w:rPr>
        <w:t>牛津英语教材及</w:t>
      </w:r>
      <w:r>
        <w:rPr>
          <w:rFonts w:hint="eastAsia"/>
          <w:lang w:eastAsia="zh-CN"/>
        </w:rPr>
        <w:t>其</w:t>
      </w:r>
      <w:r>
        <w:rPr>
          <w:rFonts w:hint="eastAsia"/>
        </w:rPr>
        <w:t>教学策略》</w:t>
      </w:r>
      <w:r>
        <w:rPr>
          <w:rFonts w:hint="eastAsia"/>
          <w:lang w:eastAsia="zh-CN"/>
        </w:rPr>
        <w:t>、《</w:t>
      </w:r>
      <w:r>
        <w:rPr>
          <w:rFonts w:hint="eastAsia"/>
          <w:lang w:val="en-US" w:eastAsia="zh-CN"/>
        </w:rPr>
        <w:t>2017版英语教学基本要求解读</w:t>
      </w:r>
      <w:r>
        <w:rPr>
          <w:rFonts w:hint="eastAsia"/>
          <w:lang w:eastAsia="zh-CN"/>
        </w:rPr>
        <w:t>》等讲座；组织多次与西延安中学、</w:t>
      </w:r>
      <w:r>
        <w:rPr>
          <w:rFonts w:hint="eastAsia"/>
        </w:rPr>
        <w:t>建青实验学校、仙霞高级中学</w:t>
      </w:r>
      <w:r>
        <w:rPr>
          <w:rFonts w:hint="eastAsia"/>
          <w:lang w:eastAsia="zh-CN"/>
        </w:rPr>
        <w:t>等校的</w:t>
      </w:r>
      <w:r>
        <w:rPr>
          <w:rFonts w:hint="eastAsia" w:asciiTheme="minorHAnsi" w:hAnsiTheme="minorHAnsi" w:eastAsiaTheme="minorEastAsia" w:cstheme="minorBidi"/>
          <w:kern w:val="2"/>
          <w:sz w:val="21"/>
          <w:szCs w:val="22"/>
          <w:lang w:val="en-US" w:eastAsia="zh-CN" w:bidi="ar-SA"/>
        </w:rPr>
        <w:t>牛津英语教材教法联合教研</w:t>
      </w:r>
      <w:r>
        <w:rPr>
          <w:rFonts w:hint="eastAsia" w:cstheme="minorBidi"/>
          <w:kern w:val="2"/>
          <w:sz w:val="21"/>
          <w:szCs w:val="22"/>
          <w:lang w:val="en-US" w:eastAsia="zh-CN" w:bidi="ar-SA"/>
        </w:rPr>
        <w:t>活动；外出观摩</w:t>
      </w:r>
      <w:r>
        <w:rPr>
          <w:rFonts w:hint="eastAsia"/>
        </w:rPr>
        <w:t>牛津英语展示课</w:t>
      </w:r>
      <w:r>
        <w:rPr>
          <w:rFonts w:hint="eastAsia" w:cstheme="minorBidi"/>
          <w:kern w:val="2"/>
          <w:sz w:val="21"/>
          <w:szCs w:val="22"/>
          <w:lang w:val="en-US" w:eastAsia="zh-CN" w:bidi="ar-SA"/>
        </w:rPr>
        <w:t>或请英语名师来校上</w:t>
      </w:r>
      <w:r>
        <w:rPr>
          <w:rFonts w:hint="eastAsia"/>
        </w:rPr>
        <w:t>教学</w:t>
      </w:r>
      <w:r>
        <w:rPr>
          <w:rFonts w:hint="eastAsia"/>
          <w:lang w:eastAsia="zh-CN"/>
        </w:rPr>
        <w:t>示范</w:t>
      </w:r>
      <w:r>
        <w:rPr>
          <w:rFonts w:hint="eastAsia"/>
        </w:rPr>
        <w:t>课</w:t>
      </w:r>
      <w:r>
        <w:rPr>
          <w:rFonts w:hint="eastAsia"/>
          <w:lang w:eastAsia="zh-CN"/>
        </w:rPr>
        <w:t>。学校还为英语组老师购买了《初中英语教学关键问题指导》、《初中英语阅读教学设计》</w:t>
      </w:r>
      <w:r>
        <w:rPr>
          <w:rFonts w:hint="eastAsia"/>
          <w:lang w:val="en-US" w:eastAsia="zh-CN"/>
        </w:rPr>
        <w:t>等</w:t>
      </w:r>
      <w:r>
        <w:rPr>
          <w:rFonts w:hint="eastAsia"/>
          <w:lang w:eastAsia="zh-CN"/>
        </w:rPr>
        <w:t>书籍，促进教研的有效开展。</w:t>
      </w:r>
    </w:p>
    <w:p>
      <w:pPr>
        <w:spacing w:line="360" w:lineRule="auto"/>
        <w:rPr>
          <w:rFonts w:ascii="宋体" w:hAnsi="宋体" w:cs="宋体"/>
          <w:b/>
          <w:bCs/>
          <w:kern w:val="0"/>
          <w:szCs w:val="21"/>
        </w:rPr>
      </w:pPr>
      <w:r>
        <w:rPr>
          <w:rFonts w:hint="eastAsia" w:ascii="宋体" w:hAnsi="宋体" w:cs="宋体"/>
          <w:b/>
          <w:bCs/>
          <w:kern w:val="0"/>
          <w:szCs w:val="21"/>
        </w:rPr>
        <w:t>二、教学实践多样化</w:t>
      </w:r>
    </w:p>
    <w:p>
      <w:pPr>
        <w:spacing w:line="360" w:lineRule="auto"/>
        <w:ind w:firstLine="420" w:firstLineChars="200"/>
        <w:rPr>
          <w:rFonts w:hint="eastAsia"/>
          <w:lang w:eastAsia="zh-CN"/>
        </w:rPr>
      </w:pPr>
      <w:r>
        <w:rPr>
          <w:rFonts w:hint="eastAsia"/>
          <w:lang w:eastAsia="zh-CN"/>
        </w:rPr>
        <w:t>学校搭建了丰富的教学实践的平台，使教师们平时的学习思考有了用武之地。</w:t>
      </w:r>
    </w:p>
    <w:p>
      <w:pPr>
        <w:numPr>
          <w:ilvl w:val="0"/>
          <w:numId w:val="8"/>
        </w:numPr>
        <w:spacing w:line="360" w:lineRule="auto"/>
        <w:rPr>
          <w:b/>
          <w:bCs/>
        </w:rPr>
      </w:pPr>
      <w:r>
        <w:rPr>
          <w:rFonts w:hint="eastAsia"/>
          <w:b/>
          <w:bCs/>
        </w:rPr>
        <w:t>公开课</w:t>
      </w:r>
      <w:r>
        <w:rPr>
          <w:rFonts w:hint="eastAsia"/>
          <w:b/>
          <w:bCs/>
          <w:lang w:eastAsia="zh-CN"/>
        </w:rPr>
        <w:t>全员参与</w:t>
      </w:r>
    </w:p>
    <w:p>
      <w:pPr>
        <w:numPr>
          <w:ilvl w:val="0"/>
          <w:numId w:val="0"/>
        </w:numPr>
        <w:spacing w:line="360" w:lineRule="auto"/>
        <w:ind w:firstLine="420" w:firstLineChars="200"/>
        <w:rPr>
          <w:rFonts w:hint="eastAsia"/>
        </w:rPr>
      </w:pPr>
      <w:r>
        <w:rPr>
          <w:rFonts w:hint="eastAsia"/>
          <w:lang w:eastAsia="zh-CN"/>
        </w:rPr>
        <w:t>以</w:t>
      </w:r>
      <w:r>
        <w:rPr>
          <w:rFonts w:hint="eastAsia"/>
        </w:rPr>
        <w:t>校级公开课</w:t>
      </w:r>
      <w:r>
        <w:rPr>
          <w:rFonts w:hint="eastAsia"/>
          <w:lang w:eastAsia="zh-CN"/>
        </w:rPr>
        <w:t>为主要形式，促进教师将理念化为行动，不断提升课堂磁性</w:t>
      </w:r>
      <w:r>
        <w:rPr>
          <w:rFonts w:hint="eastAsia"/>
        </w:rPr>
        <w:t>。组织</w:t>
      </w:r>
      <w:r>
        <w:rPr>
          <w:rFonts w:hint="eastAsia"/>
          <w:lang w:eastAsia="zh-CN"/>
        </w:rPr>
        <w:t>各科</w:t>
      </w:r>
      <w:r>
        <w:rPr>
          <w:rFonts w:hint="eastAsia"/>
        </w:rPr>
        <w:t>教师</w:t>
      </w:r>
      <w:r>
        <w:rPr>
          <w:rFonts w:hint="eastAsia"/>
          <w:lang w:eastAsia="zh-CN"/>
        </w:rPr>
        <w:t>围绕</w:t>
      </w:r>
      <w:r>
        <w:rPr>
          <w:rFonts w:hint="eastAsia"/>
          <w:b w:val="0"/>
          <w:bCs w:val="0"/>
          <w:lang w:val="en-US" w:eastAsia="zh-CN"/>
        </w:rPr>
        <w:t>磁性课堂研究主题</w:t>
      </w:r>
      <w:r>
        <w:rPr>
          <w:rFonts w:hint="eastAsia"/>
        </w:rPr>
        <w:t>上好家常课、研究课、示范课，保证每位教师在一个学年内至少有一节教学公开课。实行校级公开课教研组申报、校园网公示制度，引导教师积极开展和参与</w:t>
      </w:r>
      <w:r>
        <w:rPr>
          <w:rFonts w:hint="eastAsia"/>
          <w:lang w:eastAsia="zh-CN"/>
        </w:rPr>
        <w:t>课堂</w:t>
      </w:r>
      <w:r>
        <w:rPr>
          <w:rFonts w:hint="eastAsia"/>
        </w:rPr>
        <w:t>教学</w:t>
      </w:r>
      <w:r>
        <w:rPr>
          <w:rFonts w:hint="eastAsia"/>
          <w:lang w:eastAsia="zh-CN"/>
        </w:rPr>
        <w:t>实践和</w:t>
      </w:r>
      <w:r>
        <w:rPr>
          <w:rFonts w:hint="eastAsia"/>
        </w:rPr>
        <w:t>研讨。</w:t>
      </w:r>
    </w:p>
    <w:p>
      <w:pPr>
        <w:numPr>
          <w:ilvl w:val="0"/>
          <w:numId w:val="8"/>
        </w:numPr>
        <w:spacing w:line="360" w:lineRule="auto"/>
        <w:ind w:left="0" w:leftChars="0" w:firstLine="0" w:firstLineChars="0"/>
        <w:rPr>
          <w:b/>
          <w:bCs/>
        </w:rPr>
      </w:pPr>
      <w:r>
        <w:rPr>
          <w:rFonts w:hint="eastAsia"/>
          <w:b/>
          <w:bCs/>
          <w:lang w:eastAsia="zh-CN"/>
        </w:rPr>
        <w:t>展示课丰富多元</w:t>
      </w:r>
    </w:p>
    <w:p>
      <w:pPr>
        <w:numPr>
          <w:ilvl w:val="0"/>
          <w:numId w:val="0"/>
        </w:numPr>
        <w:spacing w:line="360" w:lineRule="auto"/>
        <w:ind w:firstLine="210" w:firstLineChars="100"/>
      </w:pPr>
      <w:r>
        <w:rPr>
          <w:rFonts w:hint="eastAsia"/>
          <w:lang w:eastAsia="zh-CN"/>
        </w:rPr>
        <w:t>精心组织了“</w:t>
      </w:r>
      <w:r>
        <w:rPr>
          <w:rFonts w:hint="eastAsia"/>
        </w:rPr>
        <w:t>见习教师汇报评比课</w:t>
      </w:r>
      <w:r>
        <w:rPr>
          <w:rFonts w:hint="eastAsia"/>
          <w:lang w:eastAsia="zh-CN"/>
        </w:rPr>
        <w:t>”</w:t>
      </w:r>
      <w:r>
        <w:rPr>
          <w:rFonts w:hint="eastAsia"/>
        </w:rPr>
        <w:t>、</w:t>
      </w:r>
      <w:r>
        <w:rPr>
          <w:rFonts w:hint="eastAsia"/>
          <w:lang w:eastAsia="zh-CN"/>
        </w:rPr>
        <w:t>“</w:t>
      </w:r>
      <w:r>
        <w:rPr>
          <w:rFonts w:hint="eastAsia"/>
        </w:rPr>
        <w:t>青年教师教学评优课</w:t>
      </w:r>
      <w:r>
        <w:rPr>
          <w:rFonts w:hint="eastAsia"/>
          <w:lang w:eastAsia="zh-CN"/>
        </w:rPr>
        <w:t>”</w:t>
      </w:r>
      <w:r>
        <w:rPr>
          <w:rFonts w:hint="eastAsia"/>
        </w:rPr>
        <w:t>、</w:t>
      </w:r>
      <w:r>
        <w:rPr>
          <w:rFonts w:hint="eastAsia"/>
          <w:lang w:eastAsia="zh-CN"/>
        </w:rPr>
        <w:t>“</w:t>
      </w:r>
      <w:r>
        <w:rPr>
          <w:rFonts w:hint="eastAsia"/>
        </w:rPr>
        <w:t>骨干教师教学展示课</w:t>
      </w:r>
      <w:r>
        <w:rPr>
          <w:rFonts w:hint="eastAsia"/>
          <w:lang w:eastAsia="zh-CN"/>
        </w:rPr>
        <w:t>”等课堂展示活动，其中的“</w:t>
      </w:r>
      <w:r>
        <w:rPr>
          <w:rFonts w:hint="eastAsia"/>
        </w:rPr>
        <w:t>见习教师汇报课</w:t>
      </w:r>
      <w:r>
        <w:rPr>
          <w:rFonts w:hint="eastAsia"/>
          <w:lang w:eastAsia="zh-CN"/>
        </w:rPr>
        <w:t>”</w:t>
      </w:r>
      <w:r>
        <w:rPr>
          <w:rFonts w:hint="eastAsia"/>
        </w:rPr>
        <w:t>评比</w:t>
      </w:r>
      <w:r>
        <w:rPr>
          <w:rFonts w:hint="eastAsia"/>
          <w:lang w:eastAsia="zh-CN"/>
        </w:rPr>
        <w:t>是我校与华江中学联合举行的，“</w:t>
      </w:r>
      <w:r>
        <w:rPr>
          <w:rFonts w:hint="eastAsia"/>
          <w:bCs/>
        </w:rPr>
        <w:t>骨干教师教学展示</w:t>
      </w:r>
      <w:r>
        <w:rPr>
          <w:rFonts w:hint="eastAsia"/>
          <w:lang w:eastAsia="zh-CN"/>
        </w:rPr>
        <w:t>”</w:t>
      </w:r>
      <w:r>
        <w:rPr>
          <w:rFonts w:hint="eastAsia"/>
          <w:bCs/>
        </w:rPr>
        <w:t>活动</w:t>
      </w:r>
      <w:r>
        <w:rPr>
          <w:rFonts w:hint="eastAsia"/>
          <w:bCs/>
          <w:lang w:eastAsia="zh-CN"/>
        </w:rPr>
        <w:t>拓展到了</w:t>
      </w:r>
      <w:r>
        <w:rPr>
          <w:rFonts w:hint="eastAsia"/>
          <w:bCs/>
        </w:rPr>
        <w:t>新优质联盟</w:t>
      </w:r>
      <w:r>
        <w:rPr>
          <w:rFonts w:hint="eastAsia"/>
          <w:bCs/>
          <w:lang w:eastAsia="zh-CN"/>
        </w:rPr>
        <w:t>范围。这些</w:t>
      </w:r>
      <w:r>
        <w:rPr>
          <w:rFonts w:hint="eastAsia"/>
          <w:lang w:eastAsia="zh-CN"/>
        </w:rPr>
        <w:t>层次分明、形式多元的</w:t>
      </w:r>
      <w:r>
        <w:rPr>
          <w:rFonts w:hint="eastAsia"/>
        </w:rPr>
        <w:t>活动，使教师呈现专业自觉、主动研究，在教学中不断磨砺的良好态势。</w:t>
      </w:r>
    </w:p>
    <w:p>
      <w:pPr>
        <w:spacing w:line="360" w:lineRule="auto"/>
        <w:rPr>
          <w:rFonts w:ascii="等线" w:hAnsi="等线" w:eastAsia="等线" w:cs="Times New Roman"/>
          <w:b/>
          <w:bCs/>
        </w:rPr>
      </w:pPr>
      <w:r>
        <w:rPr>
          <w:rFonts w:hint="eastAsia" w:ascii="等线" w:hAnsi="等线" w:eastAsia="等线" w:cs="Times New Roman"/>
          <w:b/>
          <w:bCs/>
          <w:lang w:eastAsia="zh-CN"/>
        </w:rPr>
        <w:t>三</w:t>
      </w:r>
      <w:r>
        <w:rPr>
          <w:rFonts w:hint="eastAsia" w:ascii="等线" w:hAnsi="等线" w:eastAsia="等线" w:cs="Times New Roman"/>
          <w:b/>
          <w:bCs/>
        </w:rPr>
        <w:t>、中考研究系列化</w:t>
      </w:r>
    </w:p>
    <w:p>
      <w:pPr>
        <w:spacing w:line="360" w:lineRule="auto"/>
        <w:ind w:firstLine="210" w:firstLineChars="100"/>
        <w:rPr>
          <w:rFonts w:hint="eastAsia" w:ascii="等线" w:hAnsi="等线" w:eastAsia="等线" w:cs="Times New Roman"/>
          <w:lang w:eastAsia="zh-CN"/>
        </w:rPr>
      </w:pPr>
      <w:r>
        <w:rPr>
          <w:rFonts w:hint="eastAsia" w:ascii="等线" w:hAnsi="等线" w:eastAsia="等线" w:cs="Times New Roman"/>
          <w:b/>
          <w:bCs/>
        </w:rPr>
        <w:t xml:space="preserve"> </w:t>
      </w:r>
      <w:r>
        <w:rPr>
          <w:rFonts w:hint="eastAsia" w:ascii="等线" w:hAnsi="等线" w:eastAsia="等线" w:cs="Times New Roman"/>
        </w:rPr>
        <w:t>随着中考新政的</w:t>
      </w:r>
      <w:r>
        <w:rPr>
          <w:rFonts w:hint="eastAsia" w:ascii="等线" w:hAnsi="等线" w:eastAsia="等线" w:cs="Times New Roman"/>
          <w:lang w:eastAsia="zh-CN"/>
        </w:rPr>
        <w:t>出台</w:t>
      </w:r>
      <w:r>
        <w:rPr>
          <w:rFonts w:hint="eastAsia" w:ascii="等线" w:hAnsi="等线" w:eastAsia="等线" w:cs="Times New Roman"/>
        </w:rPr>
        <w:t>，我校</w:t>
      </w:r>
      <w:r>
        <w:rPr>
          <w:rFonts w:hint="eastAsia" w:ascii="等线" w:hAnsi="等线" w:eastAsia="等线" w:cs="Times New Roman"/>
          <w:lang w:eastAsia="zh-CN"/>
        </w:rPr>
        <w:t>及时开展校本培训，组织教师学习</w:t>
      </w:r>
      <w:r>
        <w:rPr>
          <w:rFonts w:hint="eastAsia" w:ascii="等线" w:hAnsi="等线" w:eastAsia="等线" w:cs="Times New Roman"/>
        </w:rPr>
        <w:t>2018年</w:t>
      </w:r>
      <w:r>
        <w:rPr>
          <w:rFonts w:hint="eastAsia" w:ascii="等线" w:hAnsi="等线" w:eastAsia="等线" w:cs="Times New Roman"/>
          <w:lang w:eastAsia="zh-CN"/>
        </w:rPr>
        <w:t>发布的</w:t>
      </w:r>
      <w:r>
        <w:rPr>
          <w:rFonts w:hint="eastAsia" w:ascii="等线" w:hAnsi="等线" w:eastAsia="等线" w:cs="Times New Roman"/>
        </w:rPr>
        <w:t>《上海市进一步推进高中阶段学校考试招生制度改革实施意见》</w:t>
      </w:r>
      <w:r>
        <w:rPr>
          <w:rFonts w:hint="eastAsia" w:ascii="等线" w:hAnsi="等线" w:eastAsia="等线" w:cs="Times New Roman"/>
          <w:lang w:eastAsia="zh-CN"/>
        </w:rPr>
        <w:t>及</w:t>
      </w:r>
      <w:r>
        <w:rPr>
          <w:rFonts w:hint="eastAsia" w:ascii="等线" w:hAnsi="等线" w:eastAsia="等线" w:cs="Times New Roman"/>
        </w:rPr>
        <w:t>201</w:t>
      </w:r>
      <w:r>
        <w:rPr>
          <w:rFonts w:hint="eastAsia" w:ascii="等线" w:hAnsi="等线" w:eastAsia="等线" w:cs="Times New Roman"/>
          <w:lang w:val="en-US" w:eastAsia="zh-CN"/>
        </w:rPr>
        <w:t>9</w:t>
      </w:r>
      <w:r>
        <w:rPr>
          <w:rFonts w:hint="eastAsia" w:ascii="等线" w:hAnsi="等线" w:eastAsia="等线" w:cs="Times New Roman"/>
        </w:rPr>
        <w:t>年</w:t>
      </w:r>
      <w:r>
        <w:rPr>
          <w:rFonts w:hint="eastAsia" w:ascii="等线" w:hAnsi="等线" w:eastAsia="等线" w:cs="Times New Roman"/>
          <w:lang w:eastAsia="zh-CN"/>
        </w:rPr>
        <w:t>发布的</w:t>
      </w:r>
      <w:r>
        <w:rPr>
          <w:rFonts w:hint="eastAsia" w:ascii="等线" w:hAnsi="等线" w:eastAsia="等线" w:cs="Times New Roman"/>
          <w:lang w:val="en-US" w:eastAsia="zh-CN"/>
        </w:rPr>
        <w:t>《上海市初中学业水平考试实施办法》等配套文件，在此基础上对接中考改革方案，</w:t>
      </w:r>
      <w:r>
        <w:rPr>
          <w:rFonts w:hint="eastAsia" w:ascii="等线" w:hAnsi="等线" w:eastAsia="等线" w:cs="Times New Roman"/>
        </w:rPr>
        <w:t>开展了一系列</w:t>
      </w:r>
      <w:r>
        <w:rPr>
          <w:rFonts w:hint="eastAsia" w:ascii="等线" w:hAnsi="等线" w:eastAsia="等线" w:cs="Times New Roman"/>
          <w:lang w:eastAsia="zh-CN"/>
        </w:rPr>
        <w:t>积极</w:t>
      </w:r>
      <w:r>
        <w:rPr>
          <w:rFonts w:hint="eastAsia" w:ascii="等线" w:hAnsi="等线" w:eastAsia="等线" w:cs="Times New Roman"/>
        </w:rPr>
        <w:t>的行动和探索。</w:t>
      </w:r>
    </w:p>
    <w:p>
      <w:pPr>
        <w:numPr>
          <w:ilvl w:val="0"/>
          <w:numId w:val="9"/>
        </w:numPr>
        <w:spacing w:line="360" w:lineRule="auto"/>
        <w:rPr>
          <w:rFonts w:ascii="等线" w:hAnsi="等线" w:eastAsia="等线" w:cs="Times New Roman"/>
          <w:b/>
          <w:bCs/>
        </w:rPr>
      </w:pPr>
      <w:r>
        <w:rPr>
          <w:rFonts w:hint="eastAsia" w:ascii="等线" w:hAnsi="等线" w:eastAsia="等线" w:cs="Times New Roman"/>
          <w:b/>
          <w:bCs/>
        </w:rPr>
        <w:t>“五个一”中考研究系列活动</w:t>
      </w:r>
    </w:p>
    <w:p>
      <w:pPr>
        <w:spacing w:line="360" w:lineRule="auto"/>
        <w:ind w:right="-63" w:rightChars="-30" w:firstLine="210" w:firstLineChars="100"/>
        <w:rPr>
          <w:kern w:val="0"/>
        </w:rPr>
      </w:pPr>
      <w:r>
        <w:rPr>
          <w:rFonts w:hint="eastAsia" w:ascii="等线" w:hAnsi="等线" w:eastAsia="等线" w:cs="Times New Roman"/>
          <w:b/>
          <w:bCs/>
        </w:rPr>
        <w:t xml:space="preserve">  </w:t>
      </w:r>
      <w:r>
        <w:rPr>
          <w:rFonts w:hint="eastAsia" w:ascii="等线" w:hAnsi="等线" w:eastAsia="等线" w:cs="Times New Roman"/>
        </w:rPr>
        <w:t>每年从暑期校本培训启动，开展为期一个</w:t>
      </w:r>
      <w:r>
        <w:rPr>
          <w:rFonts w:hint="eastAsia" w:ascii="等线" w:hAnsi="等线" w:eastAsia="等线" w:cs="Times New Roman"/>
          <w:lang w:eastAsia="zh-CN"/>
        </w:rPr>
        <w:t>多</w:t>
      </w:r>
      <w:r>
        <w:rPr>
          <w:rFonts w:hint="eastAsia" w:ascii="等线" w:hAnsi="等线" w:eastAsia="等线" w:cs="Times New Roman"/>
        </w:rPr>
        <w:t>月的</w:t>
      </w:r>
      <w:r>
        <w:rPr>
          <w:rFonts w:hint="eastAsia"/>
        </w:rPr>
        <w:t>“五个一”系列研究</w:t>
      </w:r>
      <w:r>
        <w:rPr>
          <w:rFonts w:hint="eastAsia" w:ascii="宋体" w:hAnsi="宋体"/>
          <w:bCs/>
          <w:kern w:val="0"/>
          <w:szCs w:val="21"/>
        </w:rPr>
        <w:t>（校长作一次</w:t>
      </w:r>
      <w:r>
        <w:rPr>
          <w:rFonts w:hint="eastAsia"/>
        </w:rPr>
        <w:t>中考总结及形势分析，</w:t>
      </w:r>
      <w:r>
        <w:rPr>
          <w:rFonts w:hint="eastAsia" w:ascii="宋体" w:hAnsi="宋体" w:cs="Arial Unicode MS"/>
          <w:kern w:val="0"/>
          <w:szCs w:val="21"/>
        </w:rPr>
        <w:t>每个教师体验一次中考，每个教师写一份中考试卷评析与思考，每个教研组举行一次中考专题研讨，</w:t>
      </w:r>
      <w:r>
        <w:rPr>
          <w:rFonts w:hint="eastAsia"/>
        </w:rPr>
        <w:t>在全校层面组织一次交流分享</w:t>
      </w:r>
      <w:r>
        <w:rPr>
          <w:rFonts w:hint="eastAsia" w:ascii="宋体" w:hAnsi="宋体"/>
          <w:bCs/>
          <w:kern w:val="0"/>
          <w:szCs w:val="21"/>
        </w:rPr>
        <w:t>），集聚专家和教师的智慧，形成各学科教学的指导性意见，帮助</w:t>
      </w:r>
      <w:r>
        <w:rPr>
          <w:rFonts w:hint="eastAsia"/>
          <w:kern w:val="0"/>
        </w:rPr>
        <w:t>教师把握中考改革的导向和要求，调整和优化教学策略。如</w:t>
      </w:r>
      <w:r>
        <w:rPr>
          <w:rFonts w:hint="eastAsia"/>
          <w:color w:val="auto"/>
          <w:kern w:val="0"/>
        </w:rPr>
        <w:t>语文加强阅读教学，</w:t>
      </w:r>
      <w:r>
        <w:rPr>
          <w:rFonts w:hint="eastAsia"/>
          <w:kern w:val="0"/>
        </w:rPr>
        <w:t>英语加强听说教学，理化加强实验教学等。</w:t>
      </w:r>
    </w:p>
    <w:p>
      <w:pPr>
        <w:numPr>
          <w:ilvl w:val="0"/>
          <w:numId w:val="9"/>
        </w:numPr>
        <w:spacing w:line="360" w:lineRule="auto"/>
        <w:ind w:right="-63" w:rightChars="-30"/>
        <w:rPr>
          <w:rFonts w:ascii="等线" w:hAnsi="等线" w:eastAsia="等线" w:cs="Times New Roman"/>
          <w:b/>
          <w:bCs/>
        </w:rPr>
      </w:pPr>
      <w:r>
        <w:rPr>
          <w:rFonts w:hint="eastAsia"/>
          <w:b/>
          <w:bCs/>
          <w:kern w:val="0"/>
        </w:rPr>
        <w:t>英语听说教学研究</w:t>
      </w:r>
    </w:p>
    <w:p>
      <w:pPr>
        <w:spacing w:line="360" w:lineRule="auto"/>
        <w:ind w:firstLine="210" w:firstLineChars="100"/>
        <w:rPr>
          <w:rFonts w:hint="eastAsia"/>
        </w:rPr>
      </w:pPr>
      <w:r>
        <w:rPr>
          <w:rFonts w:hint="eastAsia"/>
        </w:rPr>
        <w:t>针对英语学科增加听说测试，加强了英语听说教学研究，以教师听说教学能力的提升来加强学生听说能力的培养。采用校本研修、校外学习和专家引领的</w:t>
      </w:r>
      <w:r>
        <w:rPr>
          <w:rFonts w:hint="eastAsia"/>
          <w:lang w:eastAsia="zh-CN"/>
        </w:rPr>
        <w:t>方</w:t>
      </w:r>
      <w:r>
        <w:rPr>
          <w:rFonts w:hint="eastAsia"/>
        </w:rPr>
        <w:t>式开展听说教学研讨。在校本研修中，大家积极开设实践课</w:t>
      </w:r>
      <w:r>
        <w:rPr>
          <w:rFonts w:hint="eastAsia"/>
          <w:lang w:eastAsia="zh-CN"/>
        </w:rPr>
        <w:t>或</w:t>
      </w:r>
      <w:r>
        <w:rPr>
          <w:rFonts w:hint="eastAsia"/>
        </w:rPr>
        <w:t>同课异构</w:t>
      </w:r>
      <w:r>
        <w:rPr>
          <w:rFonts w:hint="eastAsia"/>
          <w:lang w:eastAsia="zh-CN"/>
        </w:rPr>
        <w:t>活动</w:t>
      </w:r>
      <w:r>
        <w:rPr>
          <w:rFonts w:hint="eastAsia"/>
        </w:rPr>
        <w:t>，邀请专家指导</w:t>
      </w:r>
      <w:r>
        <w:rPr>
          <w:rFonts w:hint="eastAsia"/>
          <w:lang w:eastAsia="zh-CN"/>
        </w:rPr>
        <w:t>改进</w:t>
      </w:r>
      <w:r>
        <w:rPr>
          <w:rFonts w:hint="eastAsia"/>
        </w:rPr>
        <w:t>，</w:t>
      </w:r>
      <w:r>
        <w:rPr>
          <w:rFonts w:hint="eastAsia"/>
          <w:lang w:eastAsia="zh-CN"/>
        </w:rPr>
        <w:t>并</w:t>
      </w:r>
      <w:r>
        <w:rPr>
          <w:rFonts w:hint="eastAsia"/>
        </w:rPr>
        <w:t>组织教师进行听说教学课例的研究和撰写。另外，利用</w:t>
      </w:r>
      <w:r>
        <w:rPr>
          <w:rFonts w:hint="eastAsia"/>
          <w:lang w:eastAsia="zh-CN"/>
        </w:rPr>
        <w:t>英语</w:t>
      </w:r>
      <w:r>
        <w:rPr>
          <w:rFonts w:hint="eastAsia"/>
        </w:rPr>
        <w:t>工作室的资源，组织教师参加市级</w:t>
      </w:r>
      <w:r>
        <w:rPr>
          <w:rFonts w:hint="eastAsia"/>
          <w:lang w:eastAsia="zh-CN"/>
        </w:rPr>
        <w:t>听说</w:t>
      </w:r>
      <w:r>
        <w:rPr>
          <w:rFonts w:hint="eastAsia"/>
        </w:rPr>
        <w:t>教学展示研讨活动，不断开阔教学视野。</w:t>
      </w:r>
      <w:r>
        <w:rPr>
          <w:rFonts w:hint="eastAsia"/>
          <w:lang w:eastAsia="zh-CN"/>
        </w:rPr>
        <w:t>开展</w:t>
      </w:r>
      <w:r>
        <w:rPr>
          <w:rFonts w:hint="eastAsia"/>
        </w:rPr>
        <w:t>听说作业设计和命题研究，</w:t>
      </w:r>
      <w:r>
        <w:rPr>
          <w:rFonts w:hint="eastAsia"/>
          <w:lang w:eastAsia="zh-CN"/>
        </w:rPr>
        <w:t>已</w:t>
      </w:r>
      <w:r>
        <w:rPr>
          <w:rFonts w:hint="eastAsia"/>
        </w:rPr>
        <w:t>初步形成校本英语听说练习册（七年级第二学期）。</w:t>
      </w:r>
    </w:p>
    <w:p>
      <w:pPr>
        <w:numPr>
          <w:ilvl w:val="0"/>
          <w:numId w:val="9"/>
        </w:numPr>
        <w:spacing w:line="360" w:lineRule="auto"/>
        <w:rPr>
          <w:b/>
          <w:bCs/>
        </w:rPr>
      </w:pPr>
      <w:r>
        <w:rPr>
          <w:rFonts w:hint="eastAsia"/>
          <w:b/>
          <w:bCs/>
          <w:lang w:eastAsia="zh-CN"/>
        </w:rPr>
        <w:t>理化实验</w:t>
      </w:r>
      <w:r>
        <w:rPr>
          <w:rFonts w:hint="eastAsia"/>
          <w:b/>
          <w:bCs/>
        </w:rPr>
        <w:t>教学研究</w:t>
      </w:r>
    </w:p>
    <w:p>
      <w:pPr>
        <w:spacing w:line="360" w:lineRule="auto"/>
        <w:rPr>
          <w:rFonts w:hint="default"/>
          <w:lang w:val="en-US" w:eastAsia="zh-CN"/>
        </w:rPr>
      </w:pPr>
      <w:r>
        <w:rPr>
          <w:rFonts w:hint="eastAsia"/>
          <w:b w:val="0"/>
          <w:bCs w:val="0"/>
          <w:lang w:val="en-US" w:eastAsia="zh-CN"/>
        </w:rPr>
        <w:t xml:space="preserve">  针对综合测试中的理化实验操作，学校加强了理化实验教学研究。物理组开展</w:t>
      </w:r>
      <w:r>
        <w:rPr>
          <w:rFonts w:hint="default"/>
          <w:lang w:val="en-US" w:eastAsia="zh-CN"/>
        </w:rPr>
        <w:t>“信息技术辅助实验教学”</w:t>
      </w:r>
      <w:r>
        <w:rPr>
          <w:rFonts w:hint="eastAsia"/>
          <w:lang w:val="en-US" w:eastAsia="zh-CN"/>
        </w:rPr>
        <w:t>研究，</w:t>
      </w:r>
      <w:r>
        <w:rPr>
          <w:rFonts w:hint="default"/>
          <w:lang w:val="en-US" w:eastAsia="zh-CN"/>
        </w:rPr>
        <w:t>利用移动多媒体技术辅助实验教学</w:t>
      </w:r>
      <w:r>
        <w:rPr>
          <w:rFonts w:hint="eastAsia"/>
          <w:lang w:val="en-US" w:eastAsia="zh-CN"/>
        </w:rPr>
        <w:t>，</w:t>
      </w:r>
      <w:r>
        <w:rPr>
          <w:rFonts w:hint="default"/>
          <w:lang w:val="en-US" w:eastAsia="zh-CN"/>
        </w:rPr>
        <w:t>优化实验教学过程。</w:t>
      </w:r>
      <w:r>
        <w:rPr>
          <w:rFonts w:hint="eastAsia"/>
          <w:lang w:val="en-US" w:eastAsia="zh-CN"/>
        </w:rPr>
        <w:t>其</w:t>
      </w:r>
      <w:r>
        <w:rPr>
          <w:rFonts w:hint="default"/>
          <w:lang w:val="en-US" w:eastAsia="zh-CN"/>
        </w:rPr>
        <w:t>优点</w:t>
      </w:r>
      <w:r>
        <w:rPr>
          <w:rFonts w:hint="eastAsia"/>
          <w:lang w:val="en-US" w:eastAsia="zh-CN"/>
        </w:rPr>
        <w:t>是：</w:t>
      </w:r>
      <w:r>
        <w:rPr>
          <w:rFonts w:hint="default"/>
          <w:lang w:val="en-US" w:eastAsia="zh-CN"/>
        </w:rPr>
        <w:t>当堂的实验操作可以清晰、方便</w:t>
      </w:r>
      <w:r>
        <w:rPr>
          <w:rFonts w:hint="eastAsia"/>
          <w:lang w:val="en-US" w:eastAsia="zh-CN"/>
        </w:rPr>
        <w:t>地</w:t>
      </w:r>
      <w:r>
        <w:rPr>
          <w:rFonts w:hint="default"/>
          <w:lang w:val="en-US" w:eastAsia="zh-CN"/>
        </w:rPr>
        <w:t>演示给学生</w:t>
      </w:r>
      <w:r>
        <w:rPr>
          <w:rFonts w:hint="eastAsia"/>
          <w:lang w:val="en-US" w:eastAsia="zh-CN"/>
        </w:rPr>
        <w:t>；</w:t>
      </w:r>
      <w:r>
        <w:rPr>
          <w:rFonts w:hint="default"/>
          <w:lang w:val="en-US" w:eastAsia="zh-CN"/>
        </w:rPr>
        <w:t>课堂的实验问题可以快速反馈</w:t>
      </w:r>
      <w:r>
        <w:rPr>
          <w:rFonts w:hint="eastAsia"/>
          <w:lang w:val="en-US" w:eastAsia="zh-CN"/>
        </w:rPr>
        <w:t>；</w:t>
      </w:r>
      <w:r>
        <w:rPr>
          <w:rFonts w:hint="default"/>
          <w:lang w:val="en-US" w:eastAsia="zh-CN"/>
        </w:rPr>
        <w:t>学生的操作</w:t>
      </w:r>
      <w:r>
        <w:rPr>
          <w:rFonts w:hint="eastAsia"/>
          <w:lang w:val="en-US" w:eastAsia="zh-CN"/>
        </w:rPr>
        <w:t>可以</w:t>
      </w:r>
      <w:r>
        <w:rPr>
          <w:rFonts w:hint="default"/>
          <w:lang w:val="en-US" w:eastAsia="zh-CN"/>
        </w:rPr>
        <w:t>实时</w:t>
      </w:r>
      <w:r>
        <w:rPr>
          <w:rFonts w:hint="eastAsia"/>
          <w:lang w:val="en-US" w:eastAsia="zh-CN"/>
        </w:rPr>
        <w:t>进</w:t>
      </w:r>
      <w:r>
        <w:rPr>
          <w:rFonts w:hint="default"/>
          <w:lang w:val="en-US" w:eastAsia="zh-CN"/>
        </w:rPr>
        <w:t>行纠错。</w:t>
      </w:r>
      <w:r>
        <w:rPr>
          <w:rFonts w:hint="eastAsia"/>
          <w:lang w:val="en-US" w:eastAsia="zh-CN"/>
        </w:rPr>
        <w:t>实现了信息技术与物理实验课的融合，提升了实验教学的效率。化学组</w:t>
      </w:r>
    </w:p>
    <w:p>
      <w:pPr>
        <w:spacing w:line="360" w:lineRule="auto"/>
        <w:rPr>
          <w:rFonts w:hint="default"/>
          <w:lang w:val="en-US" w:eastAsia="zh-CN"/>
        </w:rPr>
      </w:pPr>
      <w:r>
        <w:rPr>
          <w:rFonts w:hint="eastAsia"/>
          <w:lang w:val="en-US" w:eastAsia="zh-CN"/>
        </w:rPr>
        <w:t>研究“实验教学与</w:t>
      </w:r>
      <w:r>
        <w:rPr>
          <w:rFonts w:hint="default"/>
          <w:lang w:val="en-US" w:eastAsia="zh-CN"/>
        </w:rPr>
        <w:t>复习课的</w:t>
      </w:r>
      <w:r>
        <w:rPr>
          <w:rFonts w:hint="eastAsia"/>
          <w:lang w:val="en-US" w:eastAsia="zh-CN"/>
        </w:rPr>
        <w:t>整合”，将学生感兴趣的</w:t>
      </w:r>
      <w:r>
        <w:rPr>
          <w:rFonts w:hint="default"/>
          <w:lang w:val="en-US" w:eastAsia="zh-CN"/>
        </w:rPr>
        <w:t>实验</w:t>
      </w:r>
      <w:r>
        <w:rPr>
          <w:rFonts w:hint="eastAsia"/>
          <w:lang w:val="en-US" w:eastAsia="zh-CN"/>
        </w:rPr>
        <w:t>教学</w:t>
      </w:r>
      <w:r>
        <w:rPr>
          <w:rFonts w:hint="default"/>
          <w:lang w:val="en-US" w:eastAsia="zh-CN"/>
        </w:rPr>
        <w:t>穿插在复习课</w:t>
      </w:r>
      <w:r>
        <w:rPr>
          <w:rFonts w:hint="eastAsia"/>
          <w:lang w:val="en-US" w:eastAsia="zh-CN"/>
        </w:rPr>
        <w:t>中</w:t>
      </w:r>
      <w:r>
        <w:rPr>
          <w:rFonts w:hint="default"/>
          <w:lang w:val="en-US" w:eastAsia="zh-CN"/>
        </w:rPr>
        <w:t>，创新复习课的教学思路，丰富复习课的</w:t>
      </w:r>
      <w:r>
        <w:rPr>
          <w:rFonts w:hint="eastAsia"/>
          <w:lang w:val="en-US" w:eastAsia="zh-CN"/>
        </w:rPr>
        <w:t>形式，</w:t>
      </w:r>
      <w:r>
        <w:rPr>
          <w:rFonts w:hint="default"/>
          <w:lang w:val="en-US" w:eastAsia="zh-CN"/>
        </w:rPr>
        <w:t>提高</w:t>
      </w:r>
      <w:r>
        <w:rPr>
          <w:rFonts w:hint="eastAsia"/>
          <w:lang w:val="en-US" w:eastAsia="zh-CN"/>
        </w:rPr>
        <w:t>了复习课的效果。</w:t>
      </w:r>
    </w:p>
    <w:p>
      <w:pPr>
        <w:numPr>
          <w:ilvl w:val="0"/>
          <w:numId w:val="9"/>
        </w:numPr>
        <w:spacing w:line="360" w:lineRule="auto"/>
        <w:rPr>
          <w:b/>
          <w:bCs/>
        </w:rPr>
      </w:pPr>
      <w:r>
        <w:rPr>
          <w:rFonts w:hint="eastAsia"/>
          <w:b/>
          <w:bCs/>
        </w:rPr>
        <w:t>跨学科教学研究</w:t>
      </w:r>
    </w:p>
    <w:p>
      <w:pPr>
        <w:widowControl/>
        <w:spacing w:line="360" w:lineRule="auto"/>
        <w:ind w:firstLine="420" w:firstLineChars="200"/>
        <w:jc w:val="left"/>
        <w:rPr>
          <w:rFonts w:hint="eastAsia" w:ascii="等线" w:hAnsi="等线" w:eastAsia="等线" w:cs="宋体"/>
          <w:kern w:val="0"/>
          <w:szCs w:val="21"/>
        </w:rPr>
      </w:pPr>
      <w:r>
        <w:rPr>
          <w:rFonts w:hint="eastAsia" w:ascii="等线" w:hAnsi="等线" w:eastAsia="等线" w:cs="宋体"/>
          <w:kern w:val="0"/>
          <w:szCs w:val="21"/>
        </w:rPr>
        <w:t>针对</w:t>
      </w:r>
      <w:r>
        <w:rPr>
          <w:rFonts w:hint="eastAsia"/>
          <w:b w:val="0"/>
          <w:bCs w:val="0"/>
          <w:lang w:val="en-US" w:eastAsia="zh-CN"/>
        </w:rPr>
        <w:t>综合测试中</w:t>
      </w:r>
      <w:r>
        <w:rPr>
          <w:rFonts w:hint="eastAsia" w:ascii="等线" w:hAnsi="等线" w:eastAsia="等线" w:cs="宋体"/>
          <w:kern w:val="0"/>
          <w:szCs w:val="21"/>
        </w:rPr>
        <w:t>的跨学科案例分析，加强了相关学科联合教研，找到学科间共性，在教学过程中引导学生关注学科之间的联系，积极应对跨学科案例分析。目前，学校地理和生命科学教师开展了多次联合教研活动，整理、修改和形成了5个典型案例并已印刷成册。下阶段将在实际使用中调整完善</w:t>
      </w:r>
      <w:r>
        <w:rPr>
          <w:rFonts w:hint="eastAsia" w:ascii="等线" w:hAnsi="等线" w:eastAsia="等线" w:cs="宋体"/>
          <w:kern w:val="0"/>
          <w:szCs w:val="21"/>
          <w:lang w:eastAsia="zh-CN"/>
        </w:rPr>
        <w:t>，</w:t>
      </w:r>
      <w:r>
        <w:rPr>
          <w:rFonts w:hint="eastAsia" w:ascii="等线" w:hAnsi="等线" w:eastAsia="等线" w:cs="宋体"/>
          <w:kern w:val="0"/>
          <w:szCs w:val="21"/>
        </w:rPr>
        <w:t>并通过开展跨学科公开课的形式向区内其他学校介绍典型经验。</w:t>
      </w:r>
    </w:p>
    <w:p>
      <w:pPr>
        <w:widowControl/>
        <w:numPr>
          <w:ilvl w:val="0"/>
          <w:numId w:val="0"/>
        </w:numPr>
        <w:spacing w:line="360" w:lineRule="auto"/>
        <w:ind w:leftChars="0"/>
        <w:jc w:val="left"/>
        <w:rPr>
          <w:rFonts w:hint="eastAsia" w:ascii="等线" w:hAnsi="等线" w:eastAsia="等线" w:cs="宋体"/>
          <w:b/>
          <w:bCs/>
          <w:kern w:val="0"/>
          <w:szCs w:val="21"/>
          <w:lang w:val="en-US" w:eastAsia="zh-CN"/>
        </w:rPr>
      </w:pPr>
      <w:r>
        <w:rPr>
          <w:rFonts w:hint="eastAsia" w:ascii="等线" w:hAnsi="等线" w:eastAsia="等线" w:cs="宋体"/>
          <w:b/>
          <w:bCs/>
          <w:kern w:val="0"/>
          <w:szCs w:val="21"/>
          <w:lang w:eastAsia="zh-CN"/>
        </w:rPr>
        <w:t>四、作业</w:t>
      </w:r>
      <w:r>
        <w:rPr>
          <w:rFonts w:hint="eastAsia" w:ascii="等线" w:hAnsi="等线" w:eastAsia="等线" w:cs="宋体"/>
          <w:b/>
          <w:bCs/>
          <w:kern w:val="0"/>
          <w:szCs w:val="21"/>
          <w:lang w:val="en-US" w:eastAsia="zh-CN"/>
        </w:rPr>
        <w:t>研究校本化</w:t>
      </w:r>
    </w:p>
    <w:p>
      <w:pPr>
        <w:widowControl/>
        <w:numPr>
          <w:ilvl w:val="0"/>
          <w:numId w:val="0"/>
        </w:numPr>
        <w:spacing w:line="360" w:lineRule="auto"/>
        <w:ind w:leftChars="0"/>
        <w:jc w:val="left"/>
        <w:rPr>
          <w:rFonts w:hint="eastAsia" w:ascii="等线" w:hAnsi="等线" w:eastAsia="等线" w:cs="宋体"/>
          <w:b/>
          <w:bCs/>
          <w:kern w:val="0"/>
          <w:szCs w:val="21"/>
          <w:lang w:val="en-US" w:eastAsia="zh-CN"/>
        </w:rPr>
      </w:pPr>
      <w:r>
        <w:rPr>
          <w:rFonts w:hint="eastAsia" w:ascii="等线" w:hAnsi="等线" w:eastAsia="等线" w:cs="宋体"/>
          <w:b/>
          <w:bCs/>
          <w:kern w:val="0"/>
          <w:szCs w:val="21"/>
          <w:lang w:val="en-US" w:eastAsia="zh-CN"/>
        </w:rPr>
        <w:t>1. 加强作业管理</w:t>
      </w:r>
    </w:p>
    <w:p>
      <w:pPr>
        <w:numPr>
          <w:ilvl w:val="0"/>
          <w:numId w:val="0"/>
        </w:numPr>
        <w:spacing w:line="360" w:lineRule="auto"/>
        <w:ind w:firstLine="210" w:firstLineChars="100"/>
        <w:jc w:val="both"/>
        <w:rPr>
          <w:rFonts w:hint="eastAsia" w:ascii="等线" w:hAnsi="等线" w:eastAsia="等线" w:cs="Times New Roman"/>
          <w:lang w:val="en-US" w:eastAsia="zh-CN"/>
        </w:rPr>
      </w:pPr>
      <w:r>
        <w:rPr>
          <w:rFonts w:hint="eastAsia" w:ascii="等线" w:hAnsi="等线" w:eastAsia="等线" w:cs="宋体"/>
          <w:kern w:val="0"/>
          <w:szCs w:val="21"/>
          <w:lang w:val="en-US" w:eastAsia="zh-CN"/>
        </w:rPr>
        <w:t>一是制度保障。</w:t>
      </w:r>
      <w:r>
        <w:rPr>
          <w:rFonts w:hint="eastAsia" w:ascii="等线" w:hAnsi="等线" w:eastAsia="等线" w:cs="宋体"/>
          <w:kern w:val="0"/>
          <w:szCs w:val="21"/>
        </w:rPr>
        <w:t>出台</w:t>
      </w:r>
      <w:r>
        <w:rPr>
          <w:rFonts w:hint="eastAsia" w:ascii="等线" w:hAnsi="等线" w:eastAsia="等线" w:cs="宋体"/>
          <w:kern w:val="0"/>
          <w:szCs w:val="21"/>
          <w:lang w:eastAsia="zh-CN"/>
        </w:rPr>
        <w:t>了</w:t>
      </w:r>
      <w:r>
        <w:rPr>
          <w:rFonts w:hint="eastAsia" w:ascii="等线" w:hAnsi="等线" w:eastAsia="等线" w:cs="宋体"/>
          <w:kern w:val="0"/>
          <w:szCs w:val="21"/>
          <w:lang w:val="en-US" w:eastAsia="zh-CN"/>
        </w:rPr>
        <w:t>《</w:t>
      </w:r>
      <w:r>
        <w:rPr>
          <w:rFonts w:hint="eastAsia" w:ascii="等线" w:hAnsi="等线" w:eastAsia="等线" w:cs="宋体"/>
          <w:kern w:val="0"/>
          <w:szCs w:val="21"/>
        </w:rPr>
        <w:t>江桥实验中学关于“学生作业管理”的若干规定</w:t>
      </w:r>
      <w:r>
        <w:rPr>
          <w:rFonts w:hint="eastAsia" w:ascii="等线" w:hAnsi="等线" w:eastAsia="等线" w:cs="宋体"/>
          <w:kern w:val="0"/>
          <w:szCs w:val="21"/>
          <w:lang w:val="en-US" w:eastAsia="zh-CN"/>
        </w:rPr>
        <w:t>》，在作业设计、布置、</w:t>
      </w:r>
      <w:r>
        <w:rPr>
          <w:rFonts w:hint="eastAsia" w:ascii="等线" w:hAnsi="等线" w:eastAsia="等线" w:cs="宋体"/>
          <w:kern w:val="0"/>
          <w:szCs w:val="21"/>
        </w:rPr>
        <w:t>总量</w:t>
      </w:r>
      <w:r>
        <w:rPr>
          <w:rFonts w:hint="eastAsia" w:ascii="等线" w:hAnsi="等线" w:eastAsia="等线" w:cs="宋体"/>
          <w:kern w:val="0"/>
          <w:szCs w:val="21"/>
          <w:lang w:eastAsia="zh-CN"/>
        </w:rPr>
        <w:t>、</w:t>
      </w:r>
      <w:r>
        <w:rPr>
          <w:rFonts w:hint="eastAsia" w:ascii="等线" w:hAnsi="等线" w:eastAsia="等线" w:cs="宋体"/>
          <w:kern w:val="0"/>
          <w:szCs w:val="21"/>
        </w:rPr>
        <w:t>批改</w:t>
      </w:r>
      <w:r>
        <w:rPr>
          <w:rFonts w:hint="eastAsia" w:ascii="等线" w:hAnsi="等线" w:eastAsia="等线" w:cs="宋体"/>
          <w:kern w:val="0"/>
          <w:szCs w:val="21"/>
          <w:lang w:eastAsia="zh-CN"/>
        </w:rPr>
        <w:t>、分析、</w:t>
      </w:r>
      <w:r>
        <w:rPr>
          <w:rFonts w:hint="eastAsia" w:ascii="等线" w:hAnsi="等线" w:eastAsia="等线" w:cs="宋体"/>
          <w:kern w:val="0"/>
          <w:szCs w:val="21"/>
        </w:rPr>
        <w:t>反馈和</w:t>
      </w:r>
      <w:r>
        <w:rPr>
          <w:rFonts w:hint="eastAsia" w:ascii="等线" w:hAnsi="等线" w:eastAsia="等线" w:cs="宋体"/>
          <w:kern w:val="0"/>
          <w:szCs w:val="21"/>
          <w:lang w:eastAsia="zh-CN"/>
        </w:rPr>
        <w:t>辅导等方面做出明确规定；落实</w:t>
      </w:r>
      <w:r>
        <w:rPr>
          <w:rFonts w:hint="eastAsia" w:ascii="等线" w:hAnsi="等线" w:eastAsia="等线" w:cs="Times New Roman"/>
          <w:lang w:val="en-US" w:eastAsia="zh-CN"/>
        </w:rPr>
        <w:t>《作业</w:t>
      </w:r>
      <w:r>
        <w:rPr>
          <w:rFonts w:hint="eastAsia" w:ascii="等线" w:hAnsi="等线" w:eastAsia="等线" w:cs="Times New Roman"/>
        </w:rPr>
        <w:t>检查制度</w:t>
      </w:r>
      <w:r>
        <w:rPr>
          <w:rFonts w:hint="eastAsia" w:ascii="等线" w:hAnsi="等线" w:eastAsia="等线" w:cs="Times New Roman"/>
          <w:lang w:val="en-US" w:eastAsia="zh-CN"/>
        </w:rPr>
        <w:t>》，定期、不定期地开展教师作业布置和批改情况的检查及反馈，帮助教师改进作业的设计、布置与批改。</w:t>
      </w:r>
    </w:p>
    <w:p>
      <w:pPr>
        <w:numPr>
          <w:ilvl w:val="0"/>
          <w:numId w:val="0"/>
        </w:numPr>
        <w:spacing w:line="360" w:lineRule="auto"/>
        <w:ind w:firstLine="210" w:firstLineChars="100"/>
        <w:jc w:val="both"/>
        <w:rPr>
          <w:rFonts w:hint="eastAsia" w:ascii="等线" w:hAnsi="等线" w:eastAsia="等线" w:cs="宋体"/>
          <w:kern w:val="0"/>
          <w:szCs w:val="21"/>
          <w:lang w:val="en-US" w:eastAsia="zh-CN"/>
        </w:rPr>
      </w:pPr>
      <w:r>
        <w:rPr>
          <w:rFonts w:hint="eastAsia" w:ascii="等线" w:hAnsi="等线" w:eastAsia="等线" w:cs="Times New Roman"/>
          <w:lang w:val="en-US" w:eastAsia="zh-CN"/>
        </w:rPr>
        <w:t>二是</w:t>
      </w:r>
      <w:r>
        <w:rPr>
          <w:rFonts w:hint="eastAsia" w:ascii="等线" w:hAnsi="等线" w:eastAsia="等线" w:cs="宋体"/>
          <w:kern w:val="0"/>
          <w:szCs w:val="21"/>
          <w:lang w:val="en-US" w:eastAsia="zh-CN"/>
        </w:rPr>
        <w:t>课题引领。开展了《课外作业联合布置促进减负增效的实践研究》，统筹协调各科作业量，控制课外作业总量，减轻学生的课外作业负担。近几年我校学业质量绿色指标分析报告显示：学生学业负担指数中的作业指数高于区平均，指数越高，表示认为作业量适宜的学生比例越高。</w:t>
      </w:r>
    </w:p>
    <w:p>
      <w:pPr>
        <w:numPr>
          <w:ilvl w:val="0"/>
          <w:numId w:val="0"/>
        </w:numPr>
        <w:spacing w:line="360" w:lineRule="auto"/>
        <w:ind w:firstLine="210" w:firstLineChars="100"/>
        <w:jc w:val="both"/>
        <w:rPr>
          <w:rFonts w:hint="eastAsia" w:ascii="等线" w:hAnsi="等线" w:eastAsia="等线" w:cs="Times New Roman"/>
          <w:lang w:eastAsia="zh-CN"/>
        </w:rPr>
      </w:pPr>
      <w:r>
        <w:rPr>
          <w:rFonts w:hint="eastAsia" w:ascii="等线" w:hAnsi="等线" w:eastAsia="等线" w:cs="宋体"/>
          <w:kern w:val="0"/>
          <w:szCs w:val="21"/>
          <w:lang w:val="en-US" w:eastAsia="zh-CN"/>
        </w:rPr>
        <w:t>三是调研改进。每年以学生座谈、问卷的形式开展作业调研，</w:t>
      </w:r>
      <w:r>
        <w:rPr>
          <w:rFonts w:hint="eastAsia" w:ascii="等线" w:hAnsi="等线" w:eastAsia="等线" w:cs="Times New Roman"/>
          <w:lang w:eastAsia="zh-CN"/>
        </w:rPr>
        <w:t>形成调研报告，</w:t>
      </w:r>
      <w:r>
        <w:rPr>
          <w:rFonts w:hint="eastAsia" w:ascii="等线" w:hAnsi="等线" w:eastAsia="等线" w:cs="宋体"/>
          <w:kern w:val="0"/>
          <w:szCs w:val="21"/>
          <w:lang w:val="en-US" w:eastAsia="zh-CN"/>
        </w:rPr>
        <w:t>通过数据分析发现问题并落实改进措施；举行</w:t>
      </w:r>
      <w:r>
        <w:rPr>
          <w:rFonts w:hint="eastAsia"/>
          <w:b w:val="0"/>
          <w:bCs/>
        </w:rPr>
        <w:t>优秀作业展示</w:t>
      </w:r>
      <w:r>
        <w:rPr>
          <w:rFonts w:hint="eastAsia"/>
          <w:b w:val="0"/>
          <w:bCs/>
          <w:lang w:eastAsia="zh-CN"/>
        </w:rPr>
        <w:t>活动让全体学生学有标杆；</w:t>
      </w:r>
      <w:r>
        <w:rPr>
          <w:rFonts w:hint="eastAsia" w:ascii="等线" w:hAnsi="等线" w:eastAsia="等线" w:cs="宋体"/>
          <w:kern w:val="0"/>
          <w:szCs w:val="21"/>
          <w:lang w:val="en-US" w:eastAsia="zh-CN"/>
        </w:rPr>
        <w:t>结合</w:t>
      </w:r>
      <w:r>
        <w:rPr>
          <w:rFonts w:hint="eastAsia"/>
          <w:b w:val="0"/>
          <w:bCs w:val="0"/>
          <w:lang w:val="en-US" w:eastAsia="zh-CN"/>
        </w:rPr>
        <w:t>市教委今年9月发布的《落实义务教育阶段学生减负增效工作实施意见》、《加强义务教育学校作业管理措施》等文件修订学校相关制度，不断</w:t>
      </w:r>
      <w:r>
        <w:rPr>
          <w:rFonts w:hint="eastAsia" w:ascii="等线" w:hAnsi="等线" w:eastAsia="等线" w:cs="Times New Roman"/>
          <w:lang w:eastAsia="zh-CN"/>
        </w:rPr>
        <w:t>提升作业有效性。</w:t>
      </w:r>
    </w:p>
    <w:p>
      <w:pPr>
        <w:numPr>
          <w:ilvl w:val="0"/>
          <w:numId w:val="0"/>
        </w:numPr>
        <w:spacing w:line="360" w:lineRule="auto"/>
        <w:ind w:firstLine="210" w:firstLineChars="100"/>
        <w:jc w:val="both"/>
        <w:rPr>
          <w:rFonts w:hint="eastAsia" w:ascii="等线" w:hAnsi="等线" w:eastAsia="等线" w:cs="宋体"/>
          <w:kern w:val="0"/>
          <w:szCs w:val="21"/>
          <w:lang w:val="en-US" w:eastAsia="zh-CN"/>
        </w:rPr>
      </w:pPr>
      <w:r>
        <w:rPr>
          <w:rFonts w:hint="eastAsia" w:ascii="等线" w:hAnsi="等线" w:eastAsia="等线" w:cs="Times New Roman"/>
          <w:lang w:eastAsia="zh-CN"/>
        </w:rPr>
        <w:t>四是考核跟进。</w:t>
      </w:r>
      <w:r>
        <w:rPr>
          <w:rFonts w:hint="eastAsia" w:ascii="等线" w:hAnsi="等线" w:eastAsia="等线" w:cs="宋体"/>
          <w:kern w:val="0"/>
          <w:szCs w:val="21"/>
          <w:lang w:eastAsia="zh-CN"/>
        </w:rPr>
        <w:t>对</w:t>
      </w:r>
      <w:r>
        <w:rPr>
          <w:rFonts w:hint="eastAsia" w:ascii="等线" w:hAnsi="等线" w:eastAsia="等线" w:cs="宋体"/>
          <w:kern w:val="0"/>
          <w:szCs w:val="21"/>
          <w:lang w:val="en-US" w:eastAsia="zh-CN"/>
        </w:rPr>
        <w:t>教师作业设计、布置及批改情况进行考核，结合学生满意度测评情况（网上问卷）纳入教师学期履职考核评价。</w:t>
      </w:r>
    </w:p>
    <w:p>
      <w:pPr>
        <w:widowControl/>
        <w:numPr>
          <w:ilvl w:val="0"/>
          <w:numId w:val="0"/>
        </w:numPr>
        <w:spacing w:line="360" w:lineRule="auto"/>
        <w:ind w:leftChars="0"/>
        <w:jc w:val="left"/>
        <w:rPr>
          <w:rFonts w:hint="eastAsia" w:ascii="等线" w:hAnsi="等线" w:eastAsia="等线" w:cs="宋体"/>
          <w:b/>
          <w:bCs/>
          <w:kern w:val="0"/>
          <w:szCs w:val="21"/>
          <w:lang w:eastAsia="zh-CN"/>
        </w:rPr>
      </w:pPr>
      <w:r>
        <w:rPr>
          <w:rFonts w:hint="eastAsia" w:ascii="等线" w:hAnsi="等线" w:eastAsia="等线" w:cs="宋体"/>
          <w:b/>
          <w:bCs/>
          <w:kern w:val="0"/>
          <w:szCs w:val="21"/>
          <w:lang w:val="en-US" w:eastAsia="zh-CN"/>
        </w:rPr>
        <w:t xml:space="preserve">2. </w:t>
      </w:r>
      <w:r>
        <w:rPr>
          <w:rFonts w:hint="eastAsia" w:ascii="等线" w:hAnsi="等线" w:eastAsia="等线" w:cs="宋体"/>
          <w:b/>
          <w:bCs/>
          <w:kern w:val="0"/>
          <w:szCs w:val="21"/>
          <w:lang w:eastAsia="zh-CN"/>
        </w:rPr>
        <w:t>加强作业设计</w:t>
      </w:r>
    </w:p>
    <w:p>
      <w:pPr>
        <w:widowControl/>
        <w:numPr>
          <w:ilvl w:val="0"/>
          <w:numId w:val="0"/>
        </w:numPr>
        <w:spacing w:line="360" w:lineRule="auto"/>
        <w:ind w:leftChars="0"/>
        <w:jc w:val="left"/>
        <w:rPr>
          <w:rFonts w:hint="default" w:ascii="等线" w:hAnsi="等线" w:eastAsia="等线" w:cs="Times New Roman"/>
          <w:lang w:val="en-US" w:eastAsia="zh-CN"/>
        </w:rPr>
      </w:pPr>
      <w:r>
        <w:rPr>
          <w:rFonts w:hint="eastAsia" w:ascii="等线" w:hAnsi="等线" w:eastAsia="等线" w:cs="宋体"/>
          <w:b/>
          <w:bCs/>
          <w:kern w:val="0"/>
          <w:szCs w:val="21"/>
          <w:lang w:val="en-US" w:eastAsia="zh-CN"/>
        </w:rPr>
        <w:t xml:space="preserve"> </w:t>
      </w:r>
      <w:r>
        <w:rPr>
          <w:rFonts w:hint="eastAsia" w:ascii="等线" w:hAnsi="等线" w:eastAsia="等线" w:cs="宋体"/>
          <w:b w:val="0"/>
          <w:bCs w:val="0"/>
          <w:kern w:val="0"/>
          <w:szCs w:val="21"/>
          <w:lang w:val="en-US" w:eastAsia="zh-CN"/>
        </w:rPr>
        <w:t xml:space="preserve">  </w:t>
      </w:r>
      <w:r>
        <w:rPr>
          <w:rFonts w:hint="eastAsia"/>
          <w:b w:val="0"/>
          <w:bCs w:val="0"/>
          <w:lang w:val="en-US" w:eastAsia="zh-CN"/>
        </w:rPr>
        <w:t>围绕作业选用与设计开展校本研修，不断加强校本作业资源建设。</w:t>
      </w:r>
      <w:r>
        <w:rPr>
          <w:rFonts w:hint="eastAsia" w:ascii="等线" w:hAnsi="等线" w:eastAsia="等线" w:cs="宋体"/>
          <w:b w:val="0"/>
          <w:bCs w:val="0"/>
          <w:kern w:val="0"/>
          <w:szCs w:val="21"/>
          <w:lang w:val="en-US" w:eastAsia="zh-CN"/>
        </w:rPr>
        <w:t>在</w:t>
      </w:r>
      <w:r>
        <w:rPr>
          <w:rFonts w:hint="eastAsia" w:ascii="等线" w:hAnsi="等线" w:eastAsia="等线" w:cs="Times New Roman"/>
          <w:lang w:eastAsia="zh-CN"/>
        </w:rPr>
        <w:t>梳理“学科核心知识点”的基础上，</w:t>
      </w:r>
      <w:r>
        <w:rPr>
          <w:rFonts w:hint="eastAsia"/>
          <w:sz w:val="21"/>
          <w:szCs w:val="21"/>
          <w:lang w:eastAsia="zh-CN"/>
        </w:rPr>
        <w:t>数理化三科修订</w:t>
      </w:r>
      <w:r>
        <w:rPr>
          <w:rFonts w:hint="eastAsia"/>
          <w:kern w:val="0"/>
          <w:lang w:val="en-US" w:eastAsia="zh-CN"/>
        </w:rPr>
        <w:t>完善了校本作业包、</w:t>
      </w:r>
      <w:r>
        <w:rPr>
          <w:rFonts w:hint="eastAsia"/>
          <w:sz w:val="21"/>
          <w:szCs w:val="21"/>
          <w:lang w:eastAsia="zh-CN"/>
        </w:rPr>
        <w:t>英语学科形成了一部分与牛津教材相配套的校本作业，</w:t>
      </w:r>
      <w:r>
        <w:rPr>
          <w:rFonts w:hint="eastAsia" w:ascii="等线" w:hAnsi="等线" w:eastAsia="等线" w:cs="Times New Roman"/>
          <w:lang w:eastAsia="zh-CN"/>
        </w:rPr>
        <w:t>并在实际教学中使用，形成了校本化学习资料。以我校物理教研组长陈叶清老师为主要成员的跨校团队在</w:t>
      </w:r>
      <w:r>
        <w:rPr>
          <w:rFonts w:hint="eastAsia" w:ascii="等线" w:hAnsi="等线" w:eastAsia="等线" w:cs="Times New Roman"/>
          <w:lang w:val="en-US" w:eastAsia="zh-CN"/>
        </w:rPr>
        <w:t>2017年上海市</w:t>
      </w:r>
      <w:r>
        <w:rPr>
          <w:rFonts w:hint="eastAsia" w:ascii="等线" w:hAnsi="等线" w:eastAsia="等线" w:cs="Times New Roman"/>
          <w:lang w:eastAsia="zh-CN"/>
        </w:rPr>
        <w:t>中小学优秀作业、试卷案例评选活动中荣获初中物理学科一等奖；我校数学八年级备课组、物理教研组获2017年度嘉定区中小学优秀作业、试卷案例评选二等奖；</w:t>
      </w:r>
      <w:r>
        <w:rPr>
          <w:rFonts w:hint="eastAsia" w:ascii="等线" w:hAnsi="等线" w:eastAsia="等线" w:cs="Times New Roman"/>
          <w:lang w:val="en-US" w:eastAsia="zh-CN"/>
        </w:rPr>
        <w:t xml:space="preserve"> 化学教研</w:t>
      </w:r>
      <w:r>
        <w:rPr>
          <w:rFonts w:hint="eastAsia" w:ascii="等线" w:hAnsi="等线" w:eastAsia="等线" w:cs="Times New Roman"/>
          <w:lang w:eastAsia="zh-CN"/>
        </w:rPr>
        <w:t>组、英语七年级备课组获2018年度嘉定区中小学优秀作业、试卷案例评选二、三等奖。</w:t>
      </w:r>
    </w:p>
    <w:p>
      <w:pPr>
        <w:spacing w:line="360" w:lineRule="auto"/>
        <w:rPr>
          <w:b/>
          <w:bCs/>
        </w:rPr>
      </w:pPr>
      <w:r>
        <w:rPr>
          <w:rFonts w:hint="eastAsia"/>
          <w:b/>
          <w:bCs/>
          <w:lang w:eastAsia="zh-CN"/>
        </w:rPr>
        <w:t>五</w:t>
      </w:r>
      <w:r>
        <w:rPr>
          <w:rFonts w:hint="eastAsia"/>
          <w:b/>
          <w:bCs/>
        </w:rPr>
        <w:t>、教学调研常态化</w:t>
      </w:r>
    </w:p>
    <w:p>
      <w:pPr>
        <w:spacing w:line="360" w:lineRule="auto"/>
        <w:rPr>
          <w:rFonts w:hint="eastAsia" w:ascii="等线" w:hAnsi="等线" w:eastAsia="等线" w:cs="Times New Roman"/>
        </w:rPr>
      </w:pPr>
      <w:r>
        <w:rPr>
          <w:rFonts w:hint="eastAsia"/>
          <w:b/>
          <w:bCs/>
        </w:rPr>
        <w:t xml:space="preserve"> </w:t>
      </w:r>
      <w:r>
        <w:rPr>
          <w:rFonts w:hint="eastAsia"/>
        </w:rPr>
        <w:t xml:space="preserve"> 除落实行政听课制度开展随堂听课指导外，学校还定期开展诊断性教学调研。如</w:t>
      </w:r>
      <w:r>
        <w:rPr>
          <w:rFonts w:hint="eastAsia"/>
          <w:lang w:eastAsia="zh-CN"/>
        </w:rPr>
        <w:t>：</w:t>
      </w:r>
      <w:r>
        <w:rPr>
          <w:rFonts w:hint="eastAsia" w:ascii="等线" w:hAnsi="等线" w:eastAsia="等线" w:cs="Times New Roman"/>
        </w:rPr>
        <w:t>为了提升毕业班教学质量，以九年级一模、二模考试</w:t>
      </w:r>
      <w:r>
        <w:rPr>
          <w:rFonts w:hint="eastAsia" w:ascii="等线" w:hAnsi="等线" w:eastAsia="等线" w:cs="Times New Roman"/>
          <w:lang w:eastAsia="zh-CN"/>
        </w:rPr>
        <w:t>质量分析</w:t>
      </w:r>
      <w:r>
        <w:rPr>
          <w:rFonts w:hint="eastAsia" w:ascii="等线" w:hAnsi="等线" w:eastAsia="等线" w:cs="Times New Roman"/>
        </w:rPr>
        <w:t>为</w:t>
      </w:r>
      <w:r>
        <w:rPr>
          <w:rFonts w:hint="eastAsia" w:ascii="等线" w:hAnsi="等线" w:eastAsia="等线" w:cs="Times New Roman"/>
          <w:lang w:eastAsia="zh-CN"/>
        </w:rPr>
        <w:t>依据</w:t>
      </w:r>
      <w:r>
        <w:rPr>
          <w:rFonts w:hint="eastAsia" w:ascii="等线" w:hAnsi="等线" w:eastAsia="等线" w:cs="Times New Roman"/>
        </w:rPr>
        <w:t>，由教学管理部协同九年级部进行“三步曲”教学调研。第一步：确定调研</w:t>
      </w:r>
      <w:r>
        <w:rPr>
          <w:rFonts w:hint="eastAsia" w:ascii="等线" w:hAnsi="等线" w:eastAsia="等线" w:cs="Times New Roman"/>
          <w:lang w:eastAsia="zh-CN"/>
        </w:rPr>
        <w:t>的主题</w:t>
      </w:r>
      <w:r>
        <w:rPr>
          <w:rFonts w:hint="eastAsia" w:ascii="等线" w:hAnsi="等线" w:eastAsia="等线" w:cs="Times New Roman"/>
        </w:rPr>
        <w:t>形式、班级、学科和参与教师；第二步：组织教研组长、年级主任和相关教师开展听评课交流，指导上课教师以中考风向标为指导、以学科核心素养为依据，进一步改进教学；第三步：二模和中考复习计划、资料的</w:t>
      </w:r>
      <w:r>
        <w:rPr>
          <w:rFonts w:hint="eastAsia" w:ascii="等线" w:hAnsi="等线" w:eastAsia="等线" w:cs="Times New Roman"/>
          <w:lang w:eastAsia="zh-CN"/>
        </w:rPr>
        <w:t>讨论</w:t>
      </w:r>
      <w:r>
        <w:rPr>
          <w:rFonts w:hint="eastAsia" w:ascii="等线" w:hAnsi="等线" w:eastAsia="等线" w:cs="Times New Roman"/>
        </w:rPr>
        <w:t>和</w:t>
      </w:r>
      <w:r>
        <w:rPr>
          <w:rFonts w:hint="eastAsia" w:ascii="等线" w:hAnsi="等线" w:eastAsia="等线" w:cs="Times New Roman"/>
          <w:lang w:eastAsia="zh-CN"/>
        </w:rPr>
        <w:t>改进</w:t>
      </w:r>
      <w:r>
        <w:rPr>
          <w:rFonts w:hint="eastAsia" w:ascii="等线" w:hAnsi="等线" w:eastAsia="等线" w:cs="Times New Roman"/>
        </w:rPr>
        <w:t>，指导教师对三类临界生情况进行分析，</w:t>
      </w:r>
      <w:r>
        <w:rPr>
          <w:rFonts w:hint="eastAsia" w:ascii="等线" w:hAnsi="等线" w:eastAsia="等线" w:cs="Times New Roman"/>
          <w:lang w:eastAsia="zh-CN"/>
        </w:rPr>
        <w:t>调整</w:t>
      </w:r>
      <w:r>
        <w:rPr>
          <w:rFonts w:hint="eastAsia" w:ascii="等线" w:hAnsi="等线" w:eastAsia="等线" w:cs="Times New Roman"/>
        </w:rPr>
        <w:t>复习策略和提优托底安排。通过 “三步曲”调研，加强对上课、</w:t>
      </w:r>
      <w:r>
        <w:rPr>
          <w:rFonts w:hint="eastAsia" w:ascii="等线" w:hAnsi="等线" w:eastAsia="等线" w:cs="Times New Roman"/>
          <w:lang w:eastAsia="zh-CN"/>
        </w:rPr>
        <w:t>作业</w:t>
      </w:r>
      <w:r>
        <w:rPr>
          <w:rFonts w:hint="eastAsia" w:ascii="等线" w:hAnsi="等线" w:eastAsia="等线" w:cs="Times New Roman"/>
        </w:rPr>
        <w:t>、辅导等环节的指导，针对发现的问题及时研究解决，确保九年级教学规范和教学品质的提升。</w:t>
      </w:r>
    </w:p>
    <w:p>
      <w:pPr>
        <w:numPr>
          <w:ilvl w:val="0"/>
          <w:numId w:val="10"/>
        </w:numPr>
        <w:spacing w:line="360" w:lineRule="auto"/>
        <w:ind w:left="3465" w:leftChars="0" w:firstLine="0" w:firstLineChars="0"/>
        <w:rPr>
          <w:rFonts w:hint="eastAsia" w:eastAsiaTheme="minorEastAsia"/>
          <w:b/>
          <w:bCs/>
          <w:lang w:val="en-US" w:eastAsia="zh-CN"/>
        </w:rPr>
      </w:pPr>
      <w:r>
        <w:rPr>
          <w:rFonts w:hint="eastAsia"/>
          <w:b/>
          <w:bCs/>
        </w:rPr>
        <w:t xml:space="preserve"> 经验与成绩</w:t>
      </w:r>
    </w:p>
    <w:p>
      <w:pPr>
        <w:snapToGrid w:val="0"/>
        <w:spacing w:line="360" w:lineRule="auto"/>
        <w:ind w:firstLine="315" w:firstLineChars="150"/>
        <w:rPr>
          <w:rFonts w:hint="eastAsia" w:ascii="宋体" w:hAnsi="宋体"/>
          <w:szCs w:val="21"/>
          <w:lang w:eastAsia="zh-CN"/>
        </w:rPr>
      </w:pPr>
      <w:r>
        <w:rPr>
          <w:rFonts w:hint="eastAsia" w:ascii="宋体" w:hAnsi="宋体"/>
          <w:szCs w:val="21"/>
          <w:lang w:eastAsia="zh-CN"/>
        </w:rPr>
        <w:t>学校在“重在奠基，和谐发展”的办学理念引领下，树立全面的教育质量观，通过与校本培训、教研紧密融合的</w:t>
      </w:r>
      <w:r>
        <w:rPr>
          <w:rFonts w:hint="eastAsia" w:ascii="宋体" w:hAnsi="宋体"/>
          <w:szCs w:val="21"/>
        </w:rPr>
        <w:t>“磁性”课程</w:t>
      </w:r>
      <w:r>
        <w:rPr>
          <w:rFonts w:hint="eastAsia" w:ascii="宋体" w:hAnsi="宋体"/>
          <w:szCs w:val="21"/>
          <w:lang w:eastAsia="zh-CN"/>
        </w:rPr>
        <w:t>（</w:t>
      </w:r>
      <w:r>
        <w:rPr>
          <w:rFonts w:hint="eastAsia" w:ascii="宋体" w:hAnsi="宋体"/>
          <w:szCs w:val="21"/>
        </w:rPr>
        <w:t>课堂</w:t>
      </w:r>
      <w:r>
        <w:rPr>
          <w:rFonts w:hint="eastAsia" w:ascii="宋体" w:hAnsi="宋体"/>
          <w:szCs w:val="21"/>
          <w:lang w:eastAsia="zh-CN"/>
        </w:rPr>
        <w:t>）建设，推动课程与教学工作不断深入，取得了显著的成果。</w:t>
      </w:r>
    </w:p>
    <w:p>
      <w:pPr>
        <w:numPr>
          <w:ilvl w:val="0"/>
          <w:numId w:val="11"/>
        </w:numPr>
        <w:spacing w:line="360" w:lineRule="auto"/>
        <w:rPr>
          <w:rFonts w:hint="eastAsia"/>
          <w:b/>
          <w:bCs/>
        </w:rPr>
      </w:pPr>
      <w:r>
        <w:rPr>
          <w:rFonts w:hint="eastAsia"/>
          <w:b/>
          <w:bCs/>
        </w:rPr>
        <w:t>学生综合素养稳步提升</w:t>
      </w:r>
    </w:p>
    <w:p>
      <w:pPr>
        <w:spacing w:line="360" w:lineRule="auto"/>
        <w:ind w:firstLine="420" w:firstLineChars="200"/>
        <w:rPr>
          <w:rFonts w:hint="eastAsia" w:ascii="宋体" w:hAnsi="宋体" w:cs="Arial"/>
          <w:kern w:val="0"/>
          <w:szCs w:val="21"/>
        </w:rPr>
      </w:pPr>
      <w:r>
        <w:rPr>
          <w:rFonts w:hint="eastAsia" w:ascii="宋体" w:hAnsi="宋体"/>
          <w:color w:val="auto"/>
          <w:szCs w:val="21"/>
        </w:rPr>
        <w:t>“磁性”的课程和课堂提升了学生的核心素养和思维品质</w:t>
      </w:r>
      <w:r>
        <w:rPr>
          <w:rFonts w:hint="eastAsia" w:ascii="宋体" w:hAnsi="宋体"/>
          <w:color w:val="auto"/>
          <w:szCs w:val="21"/>
          <w:lang w:eastAsia="zh-CN"/>
        </w:rPr>
        <w:t>。</w:t>
      </w:r>
      <w:r>
        <w:rPr>
          <w:rFonts w:hint="eastAsia"/>
          <w:color w:val="auto"/>
        </w:rPr>
        <w:t>学生在“磁性”</w:t>
      </w:r>
      <w:r>
        <w:rPr>
          <w:rFonts w:hint="eastAsia"/>
          <w:color w:val="auto"/>
          <w:lang w:eastAsia="zh-CN"/>
        </w:rPr>
        <w:t>课程（</w:t>
      </w:r>
      <w:r>
        <w:rPr>
          <w:rFonts w:hint="eastAsia"/>
          <w:color w:val="auto"/>
        </w:rPr>
        <w:t>课堂</w:t>
      </w:r>
      <w:r>
        <w:rPr>
          <w:rFonts w:hint="eastAsia"/>
          <w:color w:val="auto"/>
          <w:lang w:eastAsia="zh-CN"/>
        </w:rPr>
        <w:t>）</w:t>
      </w:r>
      <w:r>
        <w:rPr>
          <w:rFonts w:hint="eastAsia"/>
          <w:color w:val="auto"/>
        </w:rPr>
        <w:t>的浸润中乐学、善学</w:t>
      </w:r>
      <w:r>
        <w:rPr>
          <w:rFonts w:hint="eastAsia"/>
          <w:color w:val="auto"/>
          <w:lang w:eastAsia="zh-CN"/>
        </w:rPr>
        <w:t>，</w:t>
      </w:r>
      <w:r>
        <w:rPr>
          <w:rFonts w:hint="eastAsia" w:cs="Arial Unicode MS"/>
        </w:rPr>
        <w:t>在“三会一有”四个维度均有长足的发展，</w:t>
      </w:r>
      <w:r>
        <w:rPr>
          <w:rFonts w:hint="eastAsia"/>
        </w:rPr>
        <w:t>学业质量、体质健康、个性特长等综合素质明显提升。学校近几年教育教学质量在区内保持高位稳定，2017、2018学年共有</w:t>
      </w:r>
      <w:r>
        <w:rPr>
          <w:rFonts w:hint="eastAsia" w:ascii="宋体" w:hAnsi="宋体"/>
          <w:kern w:val="0"/>
          <w:szCs w:val="21"/>
        </w:rPr>
        <w:t>学生近500人次在各级各类竞赛</w:t>
      </w:r>
      <w:r>
        <w:rPr>
          <w:rFonts w:hint="eastAsia" w:ascii="宋体" w:hAnsi="宋体" w:cs="Arial"/>
          <w:kern w:val="0"/>
          <w:szCs w:val="21"/>
        </w:rPr>
        <w:t>中</w:t>
      </w:r>
      <w:r>
        <w:rPr>
          <w:rFonts w:hint="eastAsia" w:ascii="宋体" w:hAnsi="宋体" w:cs="宋体"/>
          <w:kern w:val="0"/>
          <w:szCs w:val="21"/>
        </w:rPr>
        <w:t>获奖，并获多项市区级</w:t>
      </w:r>
      <w:r>
        <w:rPr>
          <w:rFonts w:hint="eastAsia" w:ascii="宋体" w:hAnsi="宋体" w:cs="Arial"/>
          <w:kern w:val="0"/>
          <w:szCs w:val="21"/>
        </w:rPr>
        <w:t>荣誉称号。</w:t>
      </w:r>
    </w:p>
    <w:p>
      <w:pPr>
        <w:ind w:firstLine="420" w:firstLineChars="200"/>
        <w:rPr>
          <w:rFonts w:hint="default"/>
          <w:lang w:val="en-US" w:eastAsia="zh-CN"/>
        </w:rPr>
      </w:pPr>
      <w:r>
        <w:rPr>
          <w:rFonts w:hint="eastAsia"/>
          <w:lang w:val="en-US" w:eastAsia="zh-CN"/>
        </w:rPr>
        <w:t>在今年10月的第33届上海市中学生作文竞赛嘉定区复赛中，我校学生发挥出色，有7名学生获区一等奖，6名学生获区二三等奖；今年10月，获第十四届“孙敏书法艺术奖”中学组二等奖6人，优秀奖1人，获奖率居区公办初中首位；在刚刚结束的2019年上海市学生动漫画大赛嘉定区选拔赛中，我校获一个金奖，二个银奖和一个铜奖，获奖率居区公办初中首位。</w:t>
      </w:r>
    </w:p>
    <w:p>
      <w:pPr>
        <w:ind w:firstLine="420" w:firstLineChars="200"/>
        <w:rPr>
          <w:rFonts w:hint="eastAsia" w:ascii="宋体" w:hAnsi="宋体" w:cs="Arial"/>
          <w:kern w:val="0"/>
          <w:szCs w:val="21"/>
        </w:rPr>
      </w:pPr>
      <w:r>
        <w:rPr>
          <w:rFonts w:hint="eastAsia"/>
          <w:lang w:val="en-US" w:eastAsia="zh-CN"/>
        </w:rPr>
        <w:t xml:space="preserve"> 附：</w:t>
      </w:r>
      <w:r>
        <w:rPr>
          <w:rFonts w:hint="eastAsia"/>
          <w:color w:val="auto"/>
        </w:rPr>
        <w:t>学生素养和能力提升的案例</w:t>
      </w:r>
      <w:r>
        <w:rPr>
          <w:rFonts w:hint="eastAsia"/>
          <w:color w:val="auto"/>
          <w:lang w:eastAsia="zh-CN"/>
        </w:rPr>
        <w:t>：</w:t>
      </w:r>
      <w:r>
        <w:rPr>
          <w:rFonts w:hint="eastAsia"/>
          <w:color w:val="auto"/>
          <w:lang w:val="en-US" w:eastAsia="zh-CN"/>
        </w:rPr>
        <w:t>2018年8-12月，</w:t>
      </w:r>
      <w:r>
        <w:rPr>
          <w:rFonts w:hint="eastAsia"/>
          <w:color w:val="auto"/>
          <w:lang w:eastAsia="zh-CN"/>
        </w:rPr>
        <w:t>经教育局推荐，我校组织学生参加了“可爱的旅行家”暨2018年中国银行杯“上海市中学生境外安全文明行”微视频创意大赛。参赛学生精心准备，凝集体智慧，发挥创造力，先后获得复赛全市初中组第一名、决赛全市初中组季军的好成绩，充分展现了我校学生良好的学习、思辨能力，提高了学生综合素养，开阔了国际视野。</w:t>
      </w:r>
    </w:p>
    <w:p>
      <w:pPr>
        <w:spacing w:line="360" w:lineRule="auto"/>
        <w:rPr>
          <w:b/>
          <w:bCs/>
        </w:rPr>
      </w:pPr>
      <w:r>
        <w:rPr>
          <w:rFonts w:hint="eastAsia"/>
          <w:b/>
          <w:bCs/>
        </w:rPr>
        <w:t>二、</w:t>
      </w:r>
      <w:r>
        <w:rPr>
          <w:b/>
          <w:bCs/>
        </w:rPr>
        <w:t>教师</w:t>
      </w:r>
      <w:r>
        <w:rPr>
          <w:rFonts w:hint="eastAsia"/>
          <w:b/>
          <w:bCs/>
        </w:rPr>
        <w:t>专业素养明显提升</w:t>
      </w:r>
    </w:p>
    <w:p>
      <w:pPr>
        <w:ind w:firstLine="420" w:firstLineChars="200"/>
        <w:rPr>
          <w:rFonts w:hint="eastAsia"/>
          <w:color w:val="auto"/>
          <w:lang w:val="en-US" w:eastAsia="zh-CN"/>
        </w:rPr>
      </w:pPr>
      <w:r>
        <w:rPr>
          <w:rFonts w:hint="eastAsia" w:ascii="宋体" w:hAnsi="宋体" w:eastAsiaTheme="minorEastAsia" w:cstheme="minorBidi"/>
          <w:kern w:val="2"/>
          <w:sz w:val="21"/>
          <w:szCs w:val="21"/>
          <w:lang w:val="en-US" w:eastAsia="zh-CN" w:bidi="ar-SA"/>
        </w:rPr>
        <w:t>“磁性”</w:t>
      </w:r>
      <w:r>
        <w:rPr>
          <w:rFonts w:hint="eastAsia" w:ascii="宋体" w:hAnsi="宋体" w:cstheme="minorBidi"/>
          <w:kern w:val="2"/>
          <w:sz w:val="21"/>
          <w:szCs w:val="21"/>
          <w:lang w:val="en-US" w:eastAsia="zh-CN" w:bidi="ar-SA"/>
        </w:rPr>
        <w:t>课程（</w:t>
      </w:r>
      <w:r>
        <w:rPr>
          <w:rFonts w:hint="eastAsia" w:ascii="宋体" w:hAnsi="宋体" w:eastAsiaTheme="minorEastAsia" w:cstheme="minorBidi"/>
          <w:kern w:val="2"/>
          <w:sz w:val="21"/>
          <w:szCs w:val="21"/>
          <w:lang w:val="en-US" w:eastAsia="zh-CN" w:bidi="ar-SA"/>
        </w:rPr>
        <w:t>课堂</w:t>
      </w:r>
      <w:r>
        <w:rPr>
          <w:rFonts w:hint="eastAsia" w:ascii="宋体" w:hAnsi="宋体" w:cstheme="minorBidi"/>
          <w:kern w:val="2"/>
          <w:sz w:val="21"/>
          <w:szCs w:val="21"/>
          <w:lang w:val="en-US" w:eastAsia="zh-CN" w:bidi="ar-SA"/>
        </w:rPr>
        <w:t>）</w:t>
      </w:r>
      <w:r>
        <w:rPr>
          <w:rFonts w:hint="eastAsia" w:ascii="宋体" w:hAnsi="宋体" w:eastAsiaTheme="minorEastAsia" w:cstheme="minorBidi"/>
          <w:kern w:val="2"/>
          <w:sz w:val="21"/>
          <w:szCs w:val="21"/>
          <w:lang w:val="en-US" w:eastAsia="zh-CN" w:bidi="ar-SA"/>
        </w:rPr>
        <w:t>建设</w:t>
      </w:r>
      <w:r>
        <w:rPr>
          <w:rFonts w:hint="eastAsia" w:ascii="宋体" w:hAnsi="宋体" w:cstheme="minorBidi"/>
          <w:kern w:val="2"/>
          <w:sz w:val="21"/>
          <w:szCs w:val="21"/>
          <w:lang w:val="en-US" w:eastAsia="zh-CN" w:bidi="ar-SA"/>
        </w:rPr>
        <w:t>促进</w:t>
      </w:r>
      <w:r>
        <w:rPr>
          <w:rFonts w:hint="eastAsia" w:ascii="宋体" w:hAnsi="宋体" w:cs="仿宋_GB2312"/>
          <w:kern w:val="0"/>
          <w:szCs w:val="21"/>
        </w:rPr>
        <w:t>了教师的</w:t>
      </w:r>
      <w:r>
        <w:rPr>
          <w:rFonts w:hint="eastAsia" w:ascii="宋体" w:hAnsi="宋体" w:cs="仿宋_GB2312"/>
          <w:kern w:val="0"/>
          <w:szCs w:val="21"/>
          <w:lang w:eastAsia="zh-CN"/>
        </w:rPr>
        <w:t>专业成长，课程教学能力明显提升</w:t>
      </w:r>
      <w:r>
        <w:rPr>
          <w:rFonts w:hint="eastAsia" w:ascii="宋体" w:hAnsi="宋体" w:cs="仿宋_GB2312"/>
          <w:kern w:val="0"/>
          <w:szCs w:val="21"/>
        </w:rPr>
        <w:t>。</w:t>
      </w:r>
      <w:r>
        <w:rPr>
          <w:rFonts w:hint="eastAsia" w:ascii="宋体" w:hAnsi="宋体" w:cs="宋体"/>
          <w:color w:val="auto"/>
          <w:kern w:val="0"/>
          <w:szCs w:val="21"/>
        </w:rPr>
        <w:t>每年度教师在</w:t>
      </w:r>
      <w:r>
        <w:rPr>
          <w:rFonts w:hint="eastAsia" w:ascii="宋体" w:hAnsi="宋体" w:cs="宋体"/>
          <w:color w:val="auto"/>
          <w:kern w:val="0"/>
          <w:szCs w:val="21"/>
          <w:lang w:eastAsia="zh-CN"/>
        </w:rPr>
        <w:t>国家、</w:t>
      </w:r>
      <w:r>
        <w:rPr>
          <w:rFonts w:hint="eastAsia" w:ascii="宋体" w:hAnsi="宋体" w:cs="宋体"/>
          <w:color w:val="auto"/>
          <w:kern w:val="0"/>
          <w:szCs w:val="21"/>
        </w:rPr>
        <w:t>市</w:t>
      </w:r>
      <w:r>
        <w:rPr>
          <w:rFonts w:hint="eastAsia" w:ascii="宋体" w:hAnsi="宋体" w:cs="宋体"/>
          <w:color w:val="auto"/>
          <w:kern w:val="0"/>
          <w:szCs w:val="21"/>
          <w:lang w:eastAsia="zh-CN"/>
        </w:rPr>
        <w:t>、</w:t>
      </w:r>
      <w:r>
        <w:rPr>
          <w:rFonts w:hint="eastAsia" w:ascii="宋体" w:hAnsi="宋体" w:cs="宋体"/>
          <w:color w:val="auto"/>
          <w:kern w:val="0"/>
          <w:szCs w:val="21"/>
        </w:rPr>
        <w:t>区</w:t>
      </w:r>
      <w:r>
        <w:rPr>
          <w:rFonts w:hint="eastAsia" w:ascii="宋体" w:hAnsi="宋体" w:cs="宋体"/>
          <w:color w:val="auto"/>
          <w:kern w:val="0"/>
          <w:szCs w:val="21"/>
          <w:lang w:eastAsia="zh-CN"/>
        </w:rPr>
        <w:t>级</w:t>
      </w:r>
      <w:r>
        <w:rPr>
          <w:rFonts w:hint="eastAsia" w:ascii="宋体" w:hAnsi="宋体" w:cs="宋体"/>
          <w:color w:val="auto"/>
          <w:kern w:val="0"/>
          <w:szCs w:val="21"/>
        </w:rPr>
        <w:t>各类教育教学比赛中获奖达</w:t>
      </w:r>
      <w:r>
        <w:rPr>
          <w:rFonts w:hint="eastAsia" w:ascii="宋体" w:hAnsi="宋体" w:cs="宋体"/>
          <w:color w:val="auto"/>
          <w:kern w:val="0"/>
          <w:szCs w:val="21"/>
          <w:lang w:val="en-US" w:eastAsia="zh-CN"/>
        </w:rPr>
        <w:t>8</w:t>
      </w:r>
      <w:r>
        <w:rPr>
          <w:rFonts w:hint="eastAsia" w:ascii="宋体" w:hAnsi="宋体" w:cs="宋体"/>
          <w:color w:val="auto"/>
          <w:kern w:val="0"/>
          <w:szCs w:val="21"/>
        </w:rPr>
        <w:t>0余项</w:t>
      </w:r>
      <w:r>
        <w:rPr>
          <w:rFonts w:hint="eastAsia" w:ascii="宋体" w:hAnsi="宋体" w:cs="宋体"/>
          <w:color w:val="auto"/>
          <w:kern w:val="0"/>
          <w:szCs w:val="21"/>
          <w:lang w:eastAsia="zh-CN"/>
        </w:rPr>
        <w:t>；</w:t>
      </w:r>
      <w:r>
        <w:rPr>
          <w:rFonts w:hint="eastAsia"/>
          <w:lang w:val="en-US" w:eastAsia="zh-CN"/>
        </w:rPr>
        <w:t>2017学年以来，我校在</w:t>
      </w:r>
      <w:r>
        <w:rPr>
          <w:rFonts w:hint="eastAsia"/>
        </w:rPr>
        <w:t>“教学新秀”教学评选</w:t>
      </w:r>
      <w:r>
        <w:rPr>
          <w:rFonts w:hint="eastAsia"/>
          <w:lang w:eastAsia="zh-CN"/>
        </w:rPr>
        <w:t>、</w:t>
      </w:r>
      <w:r>
        <w:rPr>
          <w:rFonts w:hint="eastAsia"/>
          <w:lang w:val="en-US" w:eastAsia="zh-CN"/>
        </w:rPr>
        <w:t>中青年教师教学评优等</w:t>
      </w:r>
      <w:r>
        <w:rPr>
          <w:rFonts w:hint="eastAsia" w:ascii="宋体" w:hAnsi="宋体" w:eastAsiaTheme="minorEastAsia" w:cstheme="minorBidi"/>
          <w:kern w:val="2"/>
          <w:sz w:val="21"/>
          <w:szCs w:val="21"/>
          <w:lang w:val="en-US" w:eastAsia="zh-CN" w:bidi="ar-SA"/>
        </w:rPr>
        <w:t>各类教学评</w:t>
      </w:r>
      <w:r>
        <w:rPr>
          <w:rFonts w:hint="eastAsia" w:ascii="宋体" w:hAnsi="宋体" w:cstheme="minorBidi"/>
          <w:kern w:val="2"/>
          <w:sz w:val="21"/>
          <w:szCs w:val="21"/>
          <w:lang w:val="en-US" w:eastAsia="zh-CN" w:bidi="ar-SA"/>
        </w:rPr>
        <w:t>比</w:t>
      </w:r>
      <w:r>
        <w:rPr>
          <w:rFonts w:hint="eastAsia" w:ascii="宋体" w:hAnsi="宋体" w:eastAsiaTheme="minorEastAsia" w:cstheme="minorBidi"/>
          <w:kern w:val="2"/>
          <w:sz w:val="21"/>
          <w:szCs w:val="21"/>
          <w:lang w:val="en-US" w:eastAsia="zh-CN" w:bidi="ar-SA"/>
        </w:rPr>
        <w:t>中屡获佳绩，</w:t>
      </w:r>
      <w:r>
        <w:rPr>
          <w:rFonts w:hint="eastAsia"/>
          <w:lang w:val="en-US" w:eastAsia="zh-CN"/>
        </w:rPr>
        <w:t>其中获市级奖项12人次、区级奖项60人次。</w:t>
      </w:r>
      <w:r>
        <w:rPr>
          <w:rFonts w:hint="eastAsia"/>
          <w:color w:val="auto"/>
          <w:lang w:val="en-US" w:eastAsia="zh-CN"/>
        </w:rPr>
        <w:t>在刚结束的2019年度上海市中小学中青年教师教学评选中，我校周承燕老师获中学化学学科二等奖。</w:t>
      </w:r>
    </w:p>
    <w:p>
      <w:pPr>
        <w:spacing w:line="360" w:lineRule="auto"/>
        <w:ind w:firstLine="420" w:firstLineChars="200"/>
      </w:pPr>
      <w:r>
        <w:rPr>
          <w:rFonts w:hint="eastAsia"/>
          <w:lang w:eastAsia="zh-CN"/>
        </w:rPr>
        <w:t>有效</w:t>
      </w:r>
      <w:r>
        <w:rPr>
          <w:rFonts w:hint="eastAsia"/>
        </w:rPr>
        <w:t>的校本研修和</w:t>
      </w:r>
      <w:r>
        <w:rPr>
          <w:rFonts w:hint="eastAsia"/>
          <w:lang w:eastAsia="zh-CN"/>
        </w:rPr>
        <w:t>“</w:t>
      </w:r>
      <w:r>
        <w:rPr>
          <w:rFonts w:hint="eastAsia"/>
        </w:rPr>
        <w:t>磁性</w:t>
      </w:r>
      <w:r>
        <w:rPr>
          <w:rFonts w:hint="eastAsia"/>
          <w:lang w:eastAsia="zh-CN"/>
        </w:rPr>
        <w:t>”</w:t>
      </w:r>
      <w:r>
        <w:rPr>
          <w:rFonts w:hint="eastAsia"/>
        </w:rPr>
        <w:t>课堂研究</w:t>
      </w:r>
      <w:r>
        <w:rPr>
          <w:rFonts w:hint="eastAsia"/>
          <w:lang w:eastAsia="zh-CN"/>
        </w:rPr>
        <w:t>也</w:t>
      </w:r>
      <w:r>
        <w:rPr>
          <w:rFonts w:hint="eastAsia"/>
        </w:rPr>
        <w:t>带动了教研组的蓬勃发展，校本教研质量不断提升，形成了浓厚的学术氛围。</w:t>
      </w:r>
      <w:r>
        <w:t>2016年</w:t>
      </w:r>
      <w:r>
        <w:rPr>
          <w:rFonts w:hint="eastAsia"/>
          <w:lang w:eastAsia="zh-CN"/>
        </w:rPr>
        <w:t>我校</w:t>
      </w:r>
      <w:r>
        <w:t>数学、英语教研组被评为嘉定区示范教研组；</w:t>
      </w:r>
      <w:r>
        <w:rPr>
          <w:rFonts w:hint="eastAsia"/>
        </w:rPr>
        <w:t>2</w:t>
      </w:r>
      <w:r>
        <w:t>017</w:t>
      </w:r>
      <w:r>
        <w:rPr>
          <w:rFonts w:hint="eastAsia"/>
        </w:rPr>
        <w:t>年</w:t>
      </w:r>
      <w:r>
        <w:t>物理、历史教研组被评为</w:t>
      </w:r>
      <w:r>
        <w:rPr>
          <w:rFonts w:hint="eastAsia"/>
        </w:rPr>
        <w:t>嘉定</w:t>
      </w:r>
      <w:r>
        <w:t>区优秀教研组</w:t>
      </w:r>
      <w:r>
        <w:rPr>
          <w:rFonts w:hint="eastAsia"/>
        </w:rPr>
        <w:t>；2</w:t>
      </w:r>
      <w:r>
        <w:t>018</w:t>
      </w:r>
      <w:r>
        <w:rPr>
          <w:rFonts w:hint="eastAsia"/>
        </w:rPr>
        <w:t>年英语、道法教研组被评为嘉定区优秀教研组。</w:t>
      </w:r>
      <w:r>
        <w:t>在教研文化的浸润和“磁性”课堂的追求中，教师们乐教、善教，体验到了专业成长的幸福。</w:t>
      </w:r>
    </w:p>
    <w:p>
      <w:pPr>
        <w:numPr>
          <w:ilvl w:val="0"/>
          <w:numId w:val="0"/>
        </w:numPr>
        <w:spacing w:line="360" w:lineRule="auto"/>
        <w:ind w:leftChars="0"/>
        <w:rPr>
          <w:rFonts w:hint="default"/>
          <w:b/>
          <w:color w:val="auto"/>
          <w:lang w:val="en-US" w:eastAsia="zh-CN"/>
        </w:rPr>
      </w:pPr>
      <w:r>
        <w:rPr>
          <w:rFonts w:hint="eastAsia"/>
          <w:b/>
          <w:color w:val="auto"/>
          <w:lang w:eastAsia="zh-CN"/>
        </w:rPr>
        <w:t>三、</w:t>
      </w:r>
      <w:r>
        <w:rPr>
          <w:rFonts w:hint="eastAsia"/>
          <w:b/>
          <w:color w:val="auto"/>
        </w:rPr>
        <w:t>学校办学特色</w:t>
      </w:r>
      <w:r>
        <w:rPr>
          <w:rFonts w:hint="eastAsia"/>
          <w:b/>
          <w:color w:val="auto"/>
          <w:lang w:eastAsia="zh-CN"/>
        </w:rPr>
        <w:t>逐步凸显</w:t>
      </w:r>
    </w:p>
    <w:p>
      <w:pPr>
        <w:spacing w:line="360" w:lineRule="auto"/>
        <w:ind w:firstLine="420" w:firstLineChars="200"/>
        <w:rPr>
          <w:rFonts w:hint="eastAsia"/>
          <w:color w:val="FF0000"/>
        </w:rPr>
      </w:pPr>
      <w:r>
        <w:rPr>
          <w:rFonts w:hint="eastAsia" w:cs="Arial Unicode MS"/>
        </w:rPr>
        <w:t>在“磁性”课程建设的进程中，</w:t>
      </w:r>
      <w:r>
        <w:rPr>
          <w:rFonts w:hint="eastAsia"/>
        </w:rPr>
        <w:t>逐步形成和凸显了</w:t>
      </w:r>
      <w:r>
        <w:rPr>
          <w:rFonts w:hint="eastAsia"/>
          <w:color w:val="000000"/>
        </w:rPr>
        <w:t>我校的</w:t>
      </w:r>
      <w:r>
        <w:rPr>
          <w:rFonts w:hint="eastAsia"/>
        </w:rPr>
        <w:t>办学特色</w:t>
      </w:r>
      <w:r>
        <w:rPr>
          <w:rFonts w:hint="eastAsia"/>
          <w:color w:val="000000"/>
        </w:rPr>
        <w:t>——</w:t>
      </w:r>
      <w:r>
        <w:rPr>
          <w:rFonts w:hint="eastAsia" w:ascii="Arial Unicode MS" w:hAnsi="Arial Unicode MS" w:eastAsia="Arial Unicode MS" w:cs="Arial Unicode MS"/>
        </w:rPr>
        <w:t>基于</w:t>
      </w:r>
      <w:r>
        <w:rPr>
          <w:rFonts w:hint="eastAsia" w:cs="Arial Unicode MS"/>
        </w:rPr>
        <w:t>奠基教育的“磁性”课程建设。</w:t>
      </w:r>
      <w:r>
        <w:rPr>
          <w:rFonts w:hint="eastAsia" w:ascii="宋体" w:hAnsi="宋体"/>
          <w:szCs w:val="21"/>
        </w:rPr>
        <w:t>江中学子在富有磁性的课程浸润中，学会做人，学会学习，学会生活，学有特长。</w:t>
      </w:r>
      <w:r>
        <w:rPr>
          <w:rFonts w:hint="eastAsia"/>
        </w:rPr>
        <w:t>上海新闻广播、新闻晨报教育周刊</w:t>
      </w:r>
      <w:r>
        <w:rPr>
          <w:rFonts w:hint="eastAsia"/>
          <w:lang w:eastAsia="zh-CN"/>
        </w:rPr>
        <w:t>、解放日报</w:t>
      </w:r>
      <w:r>
        <w:rPr>
          <w:rFonts w:hint="eastAsia"/>
        </w:rPr>
        <w:t>以及“教师博雅”官方微信平台都</w:t>
      </w:r>
      <w:r>
        <w:rPr>
          <w:rFonts w:hint="eastAsia"/>
          <w:lang w:eastAsia="zh-CN"/>
        </w:rPr>
        <w:t>曾</w:t>
      </w:r>
      <w:r>
        <w:rPr>
          <w:rFonts w:hint="eastAsia"/>
        </w:rPr>
        <w:t>对我校通过课程建设提升学生综合素质的独创之举进行宣传报导。</w:t>
      </w:r>
    </w:p>
    <w:p>
      <w:pPr>
        <w:spacing w:line="360" w:lineRule="auto"/>
        <w:rPr>
          <w:b/>
          <w:bCs/>
        </w:rPr>
      </w:pPr>
      <w:r>
        <w:rPr>
          <w:rFonts w:hint="eastAsia"/>
          <w:b/>
          <w:bCs/>
        </w:rPr>
        <w:t>四、示范引领作用充分发挥</w:t>
      </w:r>
    </w:p>
    <w:p>
      <w:pPr>
        <w:spacing w:line="360" w:lineRule="auto"/>
        <w:ind w:firstLine="420" w:firstLineChars="200"/>
      </w:pPr>
      <w:r>
        <w:rPr>
          <w:rFonts w:hint="eastAsia"/>
        </w:rPr>
        <w:t>在推进区域教育</w:t>
      </w:r>
      <w:r>
        <w:rPr>
          <w:rFonts w:hint="eastAsia"/>
          <w:lang w:eastAsia="zh-CN"/>
        </w:rPr>
        <w:t>优质</w:t>
      </w:r>
      <w:r>
        <w:rPr>
          <w:rFonts w:hint="eastAsia"/>
        </w:rPr>
        <w:t>均衡发展</w:t>
      </w:r>
      <w:r>
        <w:rPr>
          <w:rFonts w:hint="eastAsia"/>
          <w:lang w:eastAsia="zh-CN"/>
        </w:rPr>
        <w:t>的进程</w:t>
      </w:r>
      <w:r>
        <w:rPr>
          <w:rFonts w:hint="eastAsia"/>
        </w:rPr>
        <w:t>中，</w:t>
      </w:r>
      <w:r>
        <w:rPr>
          <w:rFonts w:hint="eastAsia"/>
          <w:lang w:eastAsia="zh-CN"/>
        </w:rPr>
        <w:t>我</w:t>
      </w:r>
      <w:r>
        <w:rPr>
          <w:rFonts w:hint="eastAsia"/>
        </w:rPr>
        <w:t>校</w:t>
      </w:r>
      <w:r>
        <w:rPr>
          <w:rFonts w:hint="eastAsia"/>
          <w:lang w:eastAsia="zh-CN"/>
        </w:rPr>
        <w:t>较好地</w:t>
      </w:r>
      <w:r>
        <w:rPr>
          <w:rFonts w:hint="eastAsia"/>
        </w:rPr>
        <w:t>发挥了示范辐射引领作用。学校现为上海市第二轮新优质</w:t>
      </w:r>
      <w:r>
        <w:rPr>
          <w:rFonts w:hint="eastAsia"/>
          <w:lang w:eastAsia="zh-CN"/>
        </w:rPr>
        <w:t>学校</w:t>
      </w:r>
      <w:r>
        <w:rPr>
          <w:rFonts w:hint="eastAsia"/>
        </w:rPr>
        <w:t>学校，也是嘉定区初中“新优质联盟”主席学校</w:t>
      </w:r>
      <w:r>
        <w:rPr>
          <w:rFonts w:hint="eastAsia"/>
          <w:lang w:eastAsia="zh-CN"/>
        </w:rPr>
        <w:t>、江桥</w:t>
      </w:r>
      <w:r>
        <w:rPr>
          <w:rFonts w:hint="eastAsia"/>
        </w:rPr>
        <w:t>学</w:t>
      </w:r>
      <w:r>
        <w:rPr>
          <w:rFonts w:hint="eastAsia"/>
          <w:lang w:eastAsia="zh-CN"/>
        </w:rPr>
        <w:t>区初中组</w:t>
      </w:r>
      <w:r>
        <w:rPr>
          <w:rFonts w:hint="eastAsia"/>
        </w:rPr>
        <w:t>牵头学校。作为盟主单位和牵头单位，通过</w:t>
      </w:r>
      <w:r>
        <w:rPr>
          <w:rFonts w:hint="eastAsia"/>
          <w:lang w:eastAsia="zh-CN"/>
        </w:rPr>
        <w:t>联合培训、联合</w:t>
      </w:r>
      <w:r>
        <w:rPr>
          <w:rFonts w:hint="eastAsia"/>
        </w:rPr>
        <w:t>教研、联合</w:t>
      </w:r>
      <w:r>
        <w:rPr>
          <w:rFonts w:hint="eastAsia"/>
          <w:lang w:eastAsia="zh-CN"/>
        </w:rPr>
        <w:t>开展项目研究和</w:t>
      </w:r>
      <w:r>
        <w:rPr>
          <w:rFonts w:hint="eastAsia"/>
        </w:rPr>
        <w:t>展示等方式，为促进优质</w:t>
      </w:r>
      <w:r>
        <w:rPr>
          <w:rFonts w:hint="eastAsia"/>
          <w:lang w:eastAsia="zh-CN"/>
        </w:rPr>
        <w:t>教育</w:t>
      </w:r>
      <w:r>
        <w:rPr>
          <w:rFonts w:hint="eastAsia"/>
        </w:rPr>
        <w:t>资源共享，区域教育</w:t>
      </w:r>
      <w:r>
        <w:rPr>
          <w:rFonts w:hint="eastAsia"/>
          <w:lang w:eastAsia="zh-CN"/>
        </w:rPr>
        <w:t>优质</w:t>
      </w:r>
      <w:r>
        <w:rPr>
          <w:rFonts w:hint="eastAsia"/>
        </w:rPr>
        <w:t>均衡</w:t>
      </w:r>
      <w:r>
        <w:rPr>
          <w:rFonts w:hint="eastAsia"/>
          <w:lang w:eastAsia="zh-CN"/>
        </w:rPr>
        <w:t>付出了很多努力</w:t>
      </w:r>
      <w:r>
        <w:rPr>
          <w:rFonts w:hint="eastAsia"/>
        </w:rPr>
        <w:t>。2</w:t>
      </w:r>
      <w:r>
        <w:t>018</w:t>
      </w:r>
      <w:r>
        <w:rPr>
          <w:rFonts w:hint="eastAsia"/>
        </w:rPr>
        <w:t>年3月策划、承办了江桥学区</w:t>
      </w:r>
      <w:r>
        <w:t>初中组特色项目展示活动</w:t>
      </w:r>
      <w:r>
        <w:rPr>
          <w:rFonts w:hint="eastAsia"/>
        </w:rPr>
        <w:t>，2</w:t>
      </w:r>
      <w:r>
        <w:t>018</w:t>
      </w:r>
      <w:r>
        <w:rPr>
          <w:rFonts w:hint="eastAsia"/>
        </w:rPr>
        <w:t>年1</w:t>
      </w:r>
      <w:r>
        <w:t>1</w:t>
      </w:r>
      <w:r>
        <w:rPr>
          <w:rFonts w:hint="eastAsia"/>
        </w:rPr>
        <w:t>月举行了新优质联盟骨干教师教学展示活动。</w:t>
      </w:r>
    </w:p>
    <w:p>
      <w:pPr>
        <w:spacing w:line="360" w:lineRule="auto"/>
        <w:ind w:firstLine="420" w:firstLineChars="200"/>
      </w:pPr>
      <w:r>
        <w:rPr>
          <w:rFonts w:hint="eastAsia"/>
        </w:rPr>
        <w:t>2</w:t>
      </w:r>
      <w:r>
        <w:t>018</w:t>
      </w:r>
      <w:r>
        <w:rPr>
          <w:rFonts w:hint="eastAsia"/>
        </w:rPr>
        <w:t>年，</w:t>
      </w:r>
      <w:r>
        <w:rPr>
          <w:rFonts w:hint="eastAsia"/>
          <w:lang w:eastAsia="zh-CN"/>
        </w:rPr>
        <w:t>在区教育局的整体部署下，我</w:t>
      </w:r>
      <w:r>
        <w:rPr>
          <w:rFonts w:hint="eastAsia"/>
        </w:rPr>
        <w:t>校成为区域内华江中学和金鹤中学的强校支援校。</w:t>
      </w:r>
      <w:r>
        <w:rPr>
          <w:rFonts w:hint="eastAsia"/>
          <w:lang w:eastAsia="zh-CN"/>
        </w:rPr>
        <w:t>按照</w:t>
      </w:r>
      <w:r>
        <w:rPr>
          <w:rFonts w:hint="eastAsia"/>
        </w:rPr>
        <w:t>《上海市教育委员会关于实施百所公办初中强校工程的意见》和《嘉定区加强初中建设的实施意见》的有关要求，学校充分发挥支援校在骨干教师培养、课堂</w:t>
      </w:r>
      <w:r>
        <w:rPr>
          <w:rFonts w:hint="eastAsia"/>
          <w:lang w:eastAsia="zh-CN"/>
        </w:rPr>
        <w:t>教学</w:t>
      </w:r>
      <w:r>
        <w:rPr>
          <w:rFonts w:hint="eastAsia"/>
        </w:rPr>
        <w:t>研究、</w:t>
      </w:r>
      <w:r>
        <w:rPr>
          <w:rFonts w:hint="eastAsia"/>
          <w:lang w:eastAsia="zh-CN"/>
        </w:rPr>
        <w:t>优质</w:t>
      </w:r>
      <w:r>
        <w:rPr>
          <w:rFonts w:hint="eastAsia"/>
        </w:rPr>
        <w:t>资源</w:t>
      </w:r>
      <w:r>
        <w:rPr>
          <w:rFonts w:hint="eastAsia"/>
          <w:lang w:eastAsia="zh-CN"/>
        </w:rPr>
        <w:t>引入</w:t>
      </w:r>
      <w:r>
        <w:rPr>
          <w:rFonts w:hint="eastAsia"/>
        </w:rPr>
        <w:t>等方面的优势，开展支援校和实验校之间的师资柔性流动、教研区域联动、专家跨校指导，促进了实验校的</w:t>
      </w:r>
      <w:r>
        <w:rPr>
          <w:rFonts w:hint="eastAsia"/>
          <w:lang w:eastAsia="zh-CN"/>
        </w:rPr>
        <w:t>内涵</w:t>
      </w:r>
      <w:r>
        <w:rPr>
          <w:rFonts w:hint="eastAsia"/>
        </w:rPr>
        <w:t>发展。</w:t>
      </w:r>
    </w:p>
    <w:p>
      <w:pPr>
        <w:pStyle w:val="11"/>
        <w:numPr>
          <w:ilvl w:val="0"/>
          <w:numId w:val="10"/>
        </w:numPr>
        <w:spacing w:line="360" w:lineRule="auto"/>
        <w:ind w:left="3465" w:leftChars="0" w:firstLine="0" w:firstLineChars="0"/>
        <w:rPr>
          <w:rFonts w:hint="eastAsia"/>
          <w:b/>
        </w:rPr>
      </w:pPr>
      <w:r>
        <w:rPr>
          <w:rFonts w:hint="eastAsia"/>
          <w:b/>
        </w:rPr>
        <w:t xml:space="preserve"> 挑战与展望</w:t>
      </w:r>
    </w:p>
    <w:p>
      <w:pPr>
        <w:pStyle w:val="11"/>
        <w:numPr>
          <w:ilvl w:val="0"/>
          <w:numId w:val="0"/>
        </w:numPr>
        <w:spacing w:line="360" w:lineRule="auto"/>
        <w:rPr>
          <w:rFonts w:hint="eastAsia"/>
          <w:b/>
          <w:lang w:eastAsia="zh-CN"/>
        </w:rPr>
      </w:pPr>
      <w:r>
        <w:rPr>
          <w:rFonts w:hint="eastAsia"/>
          <w:b/>
          <w:lang w:eastAsia="zh-CN"/>
        </w:rPr>
        <w:t>一、完善磁性课程和磁性课堂</w:t>
      </w:r>
    </w:p>
    <w:p>
      <w:pPr>
        <w:pStyle w:val="11"/>
        <w:numPr>
          <w:ilvl w:val="0"/>
          <w:numId w:val="0"/>
        </w:numPr>
        <w:spacing w:line="360" w:lineRule="auto"/>
        <w:ind w:firstLine="210" w:firstLineChars="100"/>
        <w:rPr>
          <w:rFonts w:hint="eastAsia" w:ascii="等线" w:hAnsi="等线" w:eastAsia="等线"/>
          <w:szCs w:val="21"/>
        </w:rPr>
      </w:pPr>
      <w:r>
        <w:rPr>
          <w:rFonts w:hint="eastAsia"/>
          <w:b w:val="0"/>
          <w:bCs/>
          <w:lang w:val="en-US" w:eastAsia="zh-CN"/>
        </w:rPr>
        <w:t>一是要进一步优化学校课程规划。在</w:t>
      </w:r>
      <w:r>
        <w:rPr>
          <w:rFonts w:hint="eastAsia"/>
        </w:rPr>
        <w:t>充分调研</w:t>
      </w:r>
      <w:r>
        <w:rPr>
          <w:rFonts w:hint="eastAsia"/>
          <w:lang w:eastAsia="zh-CN"/>
        </w:rPr>
        <w:t>分析</w:t>
      </w:r>
      <w:r>
        <w:rPr>
          <w:rFonts w:hint="eastAsia"/>
        </w:rPr>
        <w:t>学生需求</w:t>
      </w:r>
      <w:r>
        <w:rPr>
          <w:rFonts w:hint="eastAsia"/>
          <w:lang w:eastAsia="zh-CN"/>
        </w:rPr>
        <w:t>的基础上</w:t>
      </w:r>
      <w:r>
        <w:rPr>
          <w:rFonts w:hint="eastAsia"/>
        </w:rPr>
        <w:t>，围绕课程核心理念和“三会一有”育人目标，</w:t>
      </w:r>
      <w:r>
        <w:rPr>
          <w:rFonts w:hint="eastAsia"/>
          <w:lang w:eastAsia="zh-CN"/>
        </w:rPr>
        <w:t>加强“三类课程”的整体设计，并建立课程计划的改进流程</w:t>
      </w:r>
      <w:r>
        <w:rPr>
          <w:rFonts w:hint="eastAsia" w:ascii="等线" w:hAnsi="等线" w:eastAsia="等线"/>
          <w:szCs w:val="21"/>
        </w:rPr>
        <w:t>。</w:t>
      </w:r>
    </w:p>
    <w:p>
      <w:pPr>
        <w:pStyle w:val="11"/>
        <w:numPr>
          <w:ilvl w:val="0"/>
          <w:numId w:val="0"/>
        </w:numPr>
        <w:spacing w:line="360" w:lineRule="auto"/>
        <w:ind w:firstLine="210" w:firstLineChars="100"/>
        <w:rPr>
          <w:rFonts w:hint="eastAsia" w:ascii="等线" w:hAnsi="等线" w:eastAsia="等线"/>
          <w:szCs w:val="21"/>
          <w:lang w:eastAsia="zh-CN"/>
        </w:rPr>
      </w:pPr>
      <w:r>
        <w:rPr>
          <w:rFonts w:hint="eastAsia" w:ascii="等线" w:hAnsi="等线" w:eastAsia="等线"/>
          <w:szCs w:val="21"/>
          <w:lang w:eastAsia="zh-CN"/>
        </w:rPr>
        <w:t>二是要进一步规范课程开发、实施、评价等管理制度。</w:t>
      </w:r>
      <w:r>
        <w:rPr>
          <w:rFonts w:hint="eastAsia"/>
        </w:rPr>
        <w:t>整合</w:t>
      </w:r>
      <w:r>
        <w:rPr>
          <w:rFonts w:hint="eastAsia"/>
          <w:lang w:eastAsia="zh-CN"/>
        </w:rPr>
        <w:t>优质课程</w:t>
      </w:r>
      <w:r>
        <w:rPr>
          <w:rFonts w:hint="eastAsia"/>
        </w:rPr>
        <w:t>资源</w:t>
      </w:r>
      <w:r>
        <w:rPr>
          <w:rFonts w:hint="eastAsia"/>
          <w:lang w:eastAsia="zh-CN"/>
        </w:rPr>
        <w:t>，开发顺应中考导向、</w:t>
      </w:r>
      <w:r>
        <w:rPr>
          <w:rFonts w:hint="eastAsia"/>
        </w:rPr>
        <w:t>适应学生差异、满足学生需求</w:t>
      </w:r>
      <w:r>
        <w:rPr>
          <w:rFonts w:hint="eastAsia"/>
          <w:lang w:eastAsia="zh-CN"/>
        </w:rPr>
        <w:t>的课程，</w:t>
      </w:r>
      <w:r>
        <w:rPr>
          <w:rFonts w:hint="eastAsia" w:ascii="等线" w:hAnsi="等线" w:eastAsia="等线"/>
          <w:szCs w:val="21"/>
          <w:lang w:eastAsia="zh-CN"/>
        </w:rPr>
        <w:t>逐步从课程管理走向课程领导。</w:t>
      </w:r>
    </w:p>
    <w:p>
      <w:pPr>
        <w:pStyle w:val="11"/>
        <w:numPr>
          <w:ilvl w:val="0"/>
          <w:numId w:val="0"/>
        </w:numPr>
        <w:spacing w:line="360" w:lineRule="auto"/>
        <w:ind w:firstLine="210" w:firstLineChars="100"/>
        <w:rPr>
          <w:rFonts w:hint="eastAsia"/>
          <w:lang w:eastAsia="zh-CN"/>
        </w:rPr>
      </w:pPr>
      <w:r>
        <w:rPr>
          <w:rFonts w:hint="eastAsia"/>
          <w:lang w:eastAsia="zh-CN"/>
        </w:rPr>
        <w:t>三是要进一步明确磁性课堂要求。优化“磁性课堂”的建构与诠释；建立“磁性课堂”的评价量规，从“评什么、怎么评、谁来评、为什么评”四个维度对课堂教学评价系统设计，促进教、学、评一致。</w:t>
      </w:r>
    </w:p>
    <w:p>
      <w:pPr>
        <w:pStyle w:val="11"/>
        <w:numPr>
          <w:ilvl w:val="0"/>
          <w:numId w:val="0"/>
        </w:numPr>
        <w:spacing w:line="360" w:lineRule="auto"/>
        <w:ind w:leftChars="0"/>
        <w:rPr>
          <w:rFonts w:hint="eastAsia"/>
          <w:b/>
          <w:bCs/>
          <w:lang w:eastAsia="zh-CN"/>
        </w:rPr>
      </w:pPr>
      <w:r>
        <w:rPr>
          <w:rFonts w:hint="eastAsia"/>
          <w:b/>
          <w:bCs/>
          <w:lang w:eastAsia="zh-CN"/>
        </w:rPr>
        <w:t>二、拥抱新中考发展教师队伍</w:t>
      </w:r>
    </w:p>
    <w:p>
      <w:pPr>
        <w:pStyle w:val="11"/>
        <w:numPr>
          <w:ilvl w:val="0"/>
          <w:numId w:val="0"/>
        </w:numPr>
        <w:spacing w:line="360" w:lineRule="auto"/>
        <w:ind w:leftChars="0"/>
        <w:rPr>
          <w:rFonts w:hint="eastAsia" w:ascii="等线" w:hAnsi="等线" w:eastAsia="等线" w:cs="Times New Roman"/>
          <w:color w:val="0000FF"/>
        </w:rPr>
      </w:pPr>
      <w:r>
        <w:rPr>
          <w:rFonts w:hint="eastAsia"/>
          <w:b w:val="0"/>
          <w:bCs w:val="0"/>
          <w:lang w:val="en-US" w:eastAsia="zh-CN"/>
        </w:rPr>
        <w:t xml:space="preserve">  引导全校干部和教师以积极的心态、有力的行动拥抱新中考。通过加强研究提升自身素养，紧跟时代步伐，以</w:t>
      </w:r>
      <w:r>
        <w:rPr>
          <w:rFonts w:hint="eastAsia" w:ascii="等线" w:hAnsi="等线" w:eastAsia="等线" w:cs="Times New Roman"/>
          <w:color w:val="auto"/>
        </w:rPr>
        <w:t>中考改革</w:t>
      </w:r>
      <w:r>
        <w:rPr>
          <w:rFonts w:hint="eastAsia" w:ascii="等线" w:hAnsi="等线" w:eastAsia="等线" w:cs="Times New Roman"/>
          <w:color w:val="auto"/>
          <w:lang w:eastAsia="zh-CN"/>
        </w:rPr>
        <w:t>为</w:t>
      </w:r>
      <w:r>
        <w:rPr>
          <w:rFonts w:hint="eastAsia" w:ascii="等线" w:hAnsi="等线" w:eastAsia="等线" w:cs="Times New Roman"/>
          <w:color w:val="auto"/>
        </w:rPr>
        <w:t>契机</w:t>
      </w:r>
      <w:r>
        <w:rPr>
          <w:rFonts w:hint="eastAsia" w:ascii="等线" w:hAnsi="等线" w:eastAsia="等线" w:cs="Times New Roman"/>
          <w:color w:val="auto"/>
          <w:lang w:eastAsia="zh-CN"/>
        </w:rPr>
        <w:t>深化学校课程教学改革</w:t>
      </w:r>
      <w:r>
        <w:rPr>
          <w:rFonts w:hint="eastAsia" w:ascii="等线" w:hAnsi="等线" w:eastAsia="等线" w:cs="Times New Roman"/>
          <w:color w:val="auto"/>
        </w:rPr>
        <w:t>，</w:t>
      </w:r>
      <w:r>
        <w:rPr>
          <w:rFonts w:hint="eastAsia"/>
          <w:b w:val="0"/>
          <w:bCs w:val="0"/>
          <w:lang w:val="en-US" w:eastAsia="zh-CN"/>
        </w:rPr>
        <w:t>实现学校新一轮发展。</w:t>
      </w:r>
      <w:r>
        <w:rPr>
          <w:rFonts w:hint="eastAsia" w:ascii="等线" w:hAnsi="等线" w:eastAsia="等线" w:cs="Times New Roman"/>
          <w:color w:val="auto"/>
        </w:rPr>
        <w:t>积极应对，</w:t>
      </w:r>
    </w:p>
    <w:p>
      <w:pPr>
        <w:pStyle w:val="11"/>
        <w:numPr>
          <w:ilvl w:val="0"/>
          <w:numId w:val="0"/>
        </w:numPr>
        <w:spacing w:line="360" w:lineRule="auto"/>
        <w:ind w:leftChars="0" w:firstLine="210" w:firstLineChars="100"/>
        <w:rPr>
          <w:rFonts w:hint="eastAsia" w:eastAsia="等线"/>
          <w:b w:val="0"/>
          <w:bCs/>
          <w:lang w:val="en-US" w:eastAsia="zh-CN"/>
        </w:rPr>
      </w:pPr>
      <w:r>
        <w:rPr>
          <w:rFonts w:hint="eastAsia"/>
          <w:b w:val="0"/>
          <w:bCs w:val="0"/>
          <w:lang w:val="en-US" w:eastAsia="zh-CN"/>
        </w:rPr>
        <w:t>一是要</w:t>
      </w:r>
      <w:r>
        <w:rPr>
          <w:rFonts w:hint="eastAsia"/>
          <w:b w:val="0"/>
          <w:bCs/>
          <w:lang w:val="en-US" w:eastAsia="zh-CN"/>
        </w:rPr>
        <w:t>进一步落实管理保障。</w:t>
      </w:r>
      <w:r>
        <w:rPr>
          <w:rFonts w:hint="eastAsia" w:ascii="等线" w:hAnsi="等线" w:eastAsia="等线"/>
          <w:szCs w:val="21"/>
        </w:rPr>
        <w:t>成立领导小组和工作小组，全面</w:t>
      </w:r>
      <w:r>
        <w:rPr>
          <w:rFonts w:hint="eastAsia" w:ascii="等线" w:hAnsi="等线" w:eastAsia="等线"/>
          <w:szCs w:val="21"/>
          <w:lang w:eastAsia="zh-CN"/>
        </w:rPr>
        <w:t>研究推进应</w:t>
      </w:r>
      <w:r>
        <w:rPr>
          <w:rFonts w:hint="eastAsia" w:ascii="等线" w:hAnsi="等线" w:eastAsia="等线"/>
          <w:szCs w:val="21"/>
        </w:rPr>
        <w:t>对中考改革新政和</w:t>
      </w:r>
      <w:r>
        <w:rPr>
          <w:rFonts w:hint="eastAsia" w:ascii="等线" w:hAnsi="等线" w:eastAsia="等线"/>
          <w:szCs w:val="21"/>
          <w:lang w:eastAsia="zh-CN"/>
        </w:rPr>
        <w:t>加强</w:t>
      </w:r>
      <w:r>
        <w:rPr>
          <w:rFonts w:hint="eastAsia" w:ascii="等线" w:hAnsi="等线" w:eastAsia="等线"/>
          <w:szCs w:val="21"/>
        </w:rPr>
        <w:t>初中建设的相关工作</w:t>
      </w:r>
      <w:r>
        <w:rPr>
          <w:rFonts w:hint="eastAsia" w:ascii="等线" w:hAnsi="等线" w:eastAsia="等线"/>
          <w:szCs w:val="21"/>
          <w:lang w:eastAsia="zh-CN"/>
        </w:rPr>
        <w:t>；对接中考改革要求，完善教学管理制度、修订教师评价制度、加大师资配备力度。</w:t>
      </w:r>
    </w:p>
    <w:p>
      <w:pPr>
        <w:pStyle w:val="11"/>
        <w:numPr>
          <w:ilvl w:val="0"/>
          <w:numId w:val="0"/>
        </w:numPr>
        <w:spacing w:line="360" w:lineRule="auto"/>
        <w:ind w:leftChars="0" w:firstLine="210" w:firstLineChars="100"/>
        <w:rPr>
          <w:rFonts w:hint="eastAsia" w:ascii="等线" w:hAnsi="等线" w:eastAsia="等线"/>
          <w:szCs w:val="21"/>
          <w:lang w:val="en-US" w:eastAsia="zh-CN"/>
        </w:rPr>
      </w:pPr>
      <w:r>
        <w:rPr>
          <w:rFonts w:hint="eastAsia"/>
          <w:b w:val="0"/>
          <w:bCs w:val="0"/>
          <w:lang w:val="en-US" w:eastAsia="zh-CN"/>
        </w:rPr>
        <w:t>二是要</w:t>
      </w:r>
      <w:r>
        <w:rPr>
          <w:rFonts w:hint="eastAsia"/>
          <w:b w:val="0"/>
          <w:bCs/>
          <w:lang w:val="en-US" w:eastAsia="zh-CN"/>
        </w:rPr>
        <w:t>进一步优化课程设置。</w:t>
      </w:r>
      <w:r>
        <w:rPr>
          <w:rFonts w:hint="eastAsia" w:ascii="等线" w:hAnsi="等线" w:eastAsia="等线"/>
          <w:szCs w:val="21"/>
          <w:lang w:eastAsia="zh-CN"/>
        </w:rPr>
        <w:t>开发实施综合性课程和主题式教学，通过跨学科综合学习，提升学生的综合运用能力，尤其是跨学科思维能力和解决问题能力，为应对中考的案例分析积累经验；针对</w:t>
      </w:r>
      <w:r>
        <w:rPr>
          <w:rFonts w:hint="eastAsia" w:ascii="等线" w:hAnsi="等线" w:eastAsia="等线"/>
          <w:szCs w:val="21"/>
          <w:lang w:val="en-US" w:eastAsia="zh-CN"/>
        </w:rPr>
        <w:t>英语学科增加听说测试和更加注重能力的导向，开发实施校本英语听说课程和拓展阅读课程。</w:t>
      </w:r>
    </w:p>
    <w:p>
      <w:pPr>
        <w:pStyle w:val="11"/>
        <w:numPr>
          <w:ilvl w:val="0"/>
          <w:numId w:val="0"/>
        </w:numPr>
        <w:spacing w:line="360" w:lineRule="auto"/>
        <w:ind w:leftChars="0" w:firstLine="210" w:firstLineChars="100"/>
        <w:rPr>
          <w:rFonts w:hint="eastAsia"/>
          <w:b w:val="0"/>
          <w:bCs/>
          <w:lang w:val="en-US" w:eastAsia="zh-CN"/>
        </w:rPr>
      </w:pPr>
      <w:r>
        <w:rPr>
          <w:rFonts w:hint="eastAsia"/>
          <w:b w:val="0"/>
          <w:bCs w:val="0"/>
          <w:lang w:val="en-US" w:eastAsia="zh-CN"/>
        </w:rPr>
        <w:t>三是要</w:t>
      </w:r>
      <w:r>
        <w:rPr>
          <w:rFonts w:hint="eastAsia"/>
          <w:b w:val="0"/>
          <w:bCs/>
          <w:lang w:val="en-US" w:eastAsia="zh-CN"/>
        </w:rPr>
        <w:t>进一步夯实教师培训。开展与磁性课堂研究相结合的中考培训与研究，</w:t>
      </w:r>
      <w:r>
        <w:rPr>
          <w:rFonts w:hint="eastAsia" w:ascii="等线" w:hAnsi="等线" w:eastAsia="等线"/>
          <w:szCs w:val="21"/>
          <w:lang w:val="en-US" w:eastAsia="zh-CN"/>
        </w:rPr>
        <w:t>提升教师应对中考改革的关键能力和必备素养。如探索教师跨学科教学、学生综合学习的有效途径，增强教师跨学科教学的意识和能力。</w:t>
      </w:r>
    </w:p>
    <w:p>
      <w:pPr>
        <w:numPr>
          <w:ilvl w:val="0"/>
          <w:numId w:val="0"/>
        </w:numPr>
        <w:ind w:right="-63" w:rightChars="-30" w:firstLine="210" w:firstLineChars="100"/>
        <w:rPr>
          <w:rFonts w:hint="eastAsia"/>
          <w:kern w:val="0"/>
          <w:lang w:val="en-US" w:eastAsia="zh-CN"/>
        </w:rPr>
      </w:pPr>
      <w:r>
        <w:rPr>
          <w:rFonts w:hint="eastAsia"/>
          <w:b w:val="0"/>
          <w:bCs w:val="0"/>
          <w:lang w:val="en-US" w:eastAsia="zh-CN"/>
        </w:rPr>
        <w:t>四是要</w:t>
      </w:r>
      <w:r>
        <w:rPr>
          <w:rFonts w:hint="eastAsia"/>
          <w:b w:val="0"/>
          <w:bCs/>
          <w:lang w:val="en-US" w:eastAsia="zh-CN"/>
        </w:rPr>
        <w:t>进一步推动教学改进。</w:t>
      </w:r>
      <w:r>
        <w:rPr>
          <w:rFonts w:hint="eastAsia"/>
          <w:kern w:val="0"/>
          <w:lang w:eastAsia="zh-CN"/>
        </w:rPr>
        <w:t>对接</w:t>
      </w:r>
      <w:r>
        <w:rPr>
          <w:rFonts w:hint="eastAsia"/>
          <w:kern w:val="0"/>
        </w:rPr>
        <w:t>中考</w:t>
      </w:r>
      <w:r>
        <w:rPr>
          <w:rFonts w:hint="eastAsia"/>
          <w:kern w:val="0"/>
          <w:lang w:eastAsia="zh-CN"/>
        </w:rPr>
        <w:t>改革方案，</w:t>
      </w:r>
      <w:r>
        <w:rPr>
          <w:rFonts w:hint="eastAsia"/>
          <w:b w:val="0"/>
          <w:bCs w:val="0"/>
          <w:lang w:val="en-US" w:eastAsia="zh-CN"/>
        </w:rPr>
        <w:t>重点抓好基础型课程的校本化实施，</w:t>
      </w:r>
      <w:r>
        <w:rPr>
          <w:rFonts w:hint="eastAsia"/>
          <w:kern w:val="0"/>
          <w:lang w:val="en-US" w:eastAsia="zh-CN"/>
        </w:rPr>
        <w:t>推进语文阅读教学、理化实验教学、英语听说教学、跨学科教学、道法与历史日常考核等学科研究实践，形成校本经验。此外要结合中考导向和单元教学的要求，加强作业设计和命题研究。修改完善现有的学科校本作业，并启动道法、历史等学科校本作业的研究，体现分层设计和中考改革趋势，不断提升作业实效；对照课程标准、教学基本要求和近几年中考试题，梳理中考核心知识点，制定学科双向细目表，提高命题质量。</w:t>
      </w:r>
    </w:p>
    <w:p>
      <w:pPr>
        <w:numPr>
          <w:ilvl w:val="0"/>
          <w:numId w:val="0"/>
        </w:numPr>
        <w:ind w:right="-63" w:rightChars="-30" w:firstLine="210" w:firstLineChars="100"/>
        <w:rPr>
          <w:rFonts w:hint="eastAsia"/>
          <w:kern w:val="0"/>
          <w:lang w:val="en-US" w:eastAsia="zh-CN"/>
        </w:rPr>
      </w:pPr>
    </w:p>
    <w:p>
      <w:pPr>
        <w:pStyle w:val="11"/>
        <w:numPr>
          <w:ilvl w:val="0"/>
          <w:numId w:val="0"/>
        </w:numPr>
        <w:spacing w:line="360" w:lineRule="auto"/>
        <w:ind w:leftChars="0"/>
        <w:rPr>
          <w:rFonts w:hint="eastAsia" w:ascii="等线" w:hAnsi="等线" w:eastAsia="等线"/>
          <w:szCs w:val="21"/>
          <w:lang w:val="en-US" w:eastAsia="zh-CN"/>
        </w:rPr>
      </w:pPr>
    </w:p>
    <w:p>
      <w:pPr>
        <w:widowControl/>
        <w:shd w:val="clear" w:color="auto" w:fill="FFFFFF"/>
        <w:spacing w:line="360" w:lineRule="auto"/>
        <w:ind w:firstLine="420" w:firstLineChars="200"/>
        <w:jc w:val="left"/>
        <w:rPr>
          <w:rFonts w:ascii="等线" w:hAnsi="等线" w:eastAsia="等线"/>
          <w:szCs w:val="21"/>
        </w:rPr>
      </w:pPr>
      <w:r>
        <w:rPr>
          <w:rFonts w:hint="eastAsia" w:ascii="等线" w:hAnsi="等线" w:eastAsia="等线"/>
          <w:szCs w:val="21"/>
        </w:rPr>
        <w:t xml:space="preserve">                                           上海市曹杨二中附属江桥实验中学</w:t>
      </w:r>
    </w:p>
    <w:p>
      <w:pPr>
        <w:widowControl/>
        <w:shd w:val="clear" w:color="auto" w:fill="FFFFFF"/>
        <w:spacing w:line="360" w:lineRule="auto"/>
        <w:ind w:firstLine="420" w:firstLineChars="200"/>
        <w:jc w:val="left"/>
        <w:rPr>
          <w:rFonts w:ascii="等线" w:hAnsi="等线" w:eastAsia="等线"/>
          <w:szCs w:val="21"/>
        </w:rPr>
      </w:pPr>
      <w:r>
        <w:rPr>
          <w:rFonts w:hint="eastAsia" w:ascii="等线" w:hAnsi="等线" w:eastAsia="等线"/>
          <w:szCs w:val="21"/>
        </w:rPr>
        <w:t xml:space="preserve">                                                      2019年11月</w:t>
      </w:r>
    </w:p>
    <w:p>
      <w:pPr>
        <w:widowControl/>
        <w:shd w:val="clear" w:color="auto" w:fill="FFFFFF"/>
        <w:spacing w:line="360" w:lineRule="auto"/>
        <w:ind w:firstLine="420" w:firstLineChars="200"/>
        <w:jc w:val="left"/>
        <w:rPr>
          <w:rFonts w:ascii="等线" w:hAnsi="等线" w:eastAsia="等线"/>
          <w:szCs w:val="21"/>
        </w:rPr>
      </w:pPr>
    </w:p>
    <w:p>
      <w:pPr>
        <w:widowControl/>
        <w:shd w:val="clear" w:color="auto" w:fill="FFFFFF"/>
        <w:spacing w:line="360" w:lineRule="auto"/>
        <w:jc w:val="left"/>
        <w:rPr>
          <w:rFonts w:ascii="等线" w:hAnsi="等线" w:eastAsia="等线"/>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02BE7F"/>
    <w:multiLevelType w:val="singleLevel"/>
    <w:tmpl w:val="8C02BE7F"/>
    <w:lvl w:ilvl="0" w:tentative="0">
      <w:start w:val="1"/>
      <w:numFmt w:val="decimal"/>
      <w:suff w:val="space"/>
      <w:lvlText w:val="%1."/>
      <w:lvlJc w:val="left"/>
    </w:lvl>
  </w:abstractNum>
  <w:abstractNum w:abstractNumId="1">
    <w:nsid w:val="8C4F7A8C"/>
    <w:multiLevelType w:val="singleLevel"/>
    <w:tmpl w:val="8C4F7A8C"/>
    <w:lvl w:ilvl="0" w:tentative="0">
      <w:start w:val="2"/>
      <w:numFmt w:val="chineseCounting"/>
      <w:suff w:val="nothing"/>
      <w:lvlText w:val="%1、"/>
      <w:lvlJc w:val="left"/>
      <w:rPr>
        <w:rFonts w:hint="eastAsia"/>
      </w:rPr>
    </w:lvl>
  </w:abstractNum>
  <w:abstractNum w:abstractNumId="2">
    <w:nsid w:val="B2ECBC66"/>
    <w:multiLevelType w:val="singleLevel"/>
    <w:tmpl w:val="B2ECBC66"/>
    <w:lvl w:ilvl="0" w:tentative="0">
      <w:start w:val="5"/>
      <w:numFmt w:val="chineseCounting"/>
      <w:suff w:val="space"/>
      <w:lvlText w:val="第%1部分"/>
      <w:lvlJc w:val="left"/>
      <w:pPr>
        <w:ind w:left="3465" w:leftChars="0" w:firstLine="0" w:firstLineChars="0"/>
      </w:pPr>
      <w:rPr>
        <w:rFonts w:hint="eastAsia"/>
      </w:rPr>
    </w:lvl>
  </w:abstractNum>
  <w:abstractNum w:abstractNumId="3">
    <w:nsid w:val="D3D44EE7"/>
    <w:multiLevelType w:val="singleLevel"/>
    <w:tmpl w:val="D3D44EE7"/>
    <w:lvl w:ilvl="0" w:tentative="0">
      <w:start w:val="1"/>
      <w:numFmt w:val="chineseCounting"/>
      <w:suff w:val="nothing"/>
      <w:lvlText w:val="%1、"/>
      <w:lvlJc w:val="left"/>
      <w:rPr>
        <w:rFonts w:hint="eastAsia"/>
      </w:rPr>
    </w:lvl>
  </w:abstractNum>
  <w:abstractNum w:abstractNumId="4">
    <w:nsid w:val="D6327163"/>
    <w:multiLevelType w:val="singleLevel"/>
    <w:tmpl w:val="D6327163"/>
    <w:lvl w:ilvl="0" w:tentative="0">
      <w:start w:val="2"/>
      <w:numFmt w:val="chineseCounting"/>
      <w:suff w:val="space"/>
      <w:lvlText w:val="第%1部分"/>
      <w:lvlJc w:val="left"/>
      <w:rPr>
        <w:rFonts w:hint="eastAsia"/>
      </w:rPr>
    </w:lvl>
  </w:abstractNum>
  <w:abstractNum w:abstractNumId="5">
    <w:nsid w:val="F8437991"/>
    <w:multiLevelType w:val="singleLevel"/>
    <w:tmpl w:val="F8437991"/>
    <w:lvl w:ilvl="0" w:tentative="0">
      <w:start w:val="1"/>
      <w:numFmt w:val="chineseCounting"/>
      <w:suff w:val="nothing"/>
      <w:lvlText w:val="%1、"/>
      <w:lvlJc w:val="left"/>
      <w:rPr>
        <w:rFonts w:hint="eastAsia"/>
      </w:rPr>
    </w:lvl>
  </w:abstractNum>
  <w:abstractNum w:abstractNumId="6">
    <w:nsid w:val="08CF8CCF"/>
    <w:multiLevelType w:val="singleLevel"/>
    <w:tmpl w:val="08CF8CCF"/>
    <w:lvl w:ilvl="0" w:tentative="0">
      <w:start w:val="1"/>
      <w:numFmt w:val="decimal"/>
      <w:lvlText w:val="%1."/>
      <w:lvlJc w:val="left"/>
      <w:pPr>
        <w:tabs>
          <w:tab w:val="left" w:pos="312"/>
        </w:tabs>
      </w:pPr>
    </w:lvl>
  </w:abstractNum>
  <w:abstractNum w:abstractNumId="7">
    <w:nsid w:val="2CDAC554"/>
    <w:multiLevelType w:val="singleLevel"/>
    <w:tmpl w:val="2CDAC554"/>
    <w:lvl w:ilvl="0" w:tentative="0">
      <w:start w:val="1"/>
      <w:numFmt w:val="chineseCounting"/>
      <w:suff w:val="nothing"/>
      <w:lvlText w:val="%1、"/>
      <w:lvlJc w:val="left"/>
      <w:rPr>
        <w:rFonts w:hint="eastAsia"/>
      </w:rPr>
    </w:lvl>
  </w:abstractNum>
  <w:abstractNum w:abstractNumId="8">
    <w:nsid w:val="68BF53C9"/>
    <w:multiLevelType w:val="singleLevel"/>
    <w:tmpl w:val="68BF53C9"/>
    <w:lvl w:ilvl="0" w:tentative="0">
      <w:start w:val="1"/>
      <w:numFmt w:val="decimal"/>
      <w:suff w:val="space"/>
      <w:lvlText w:val="%1."/>
      <w:lvlJc w:val="left"/>
    </w:lvl>
  </w:abstractNum>
  <w:abstractNum w:abstractNumId="9">
    <w:nsid w:val="6A03EE83"/>
    <w:multiLevelType w:val="singleLevel"/>
    <w:tmpl w:val="6A03EE83"/>
    <w:lvl w:ilvl="0" w:tentative="0">
      <w:start w:val="1"/>
      <w:numFmt w:val="decimal"/>
      <w:lvlText w:val="%1."/>
      <w:lvlJc w:val="left"/>
      <w:pPr>
        <w:tabs>
          <w:tab w:val="left" w:pos="312"/>
        </w:tabs>
      </w:pPr>
    </w:lvl>
  </w:abstractNum>
  <w:abstractNum w:abstractNumId="10">
    <w:nsid w:val="79D33D09"/>
    <w:multiLevelType w:val="singleLevel"/>
    <w:tmpl w:val="79D33D09"/>
    <w:lvl w:ilvl="0" w:tentative="0">
      <w:start w:val="2"/>
      <w:numFmt w:val="decimal"/>
      <w:suff w:val="space"/>
      <w:lvlText w:val="%1."/>
      <w:lvlJc w:val="left"/>
    </w:lvl>
  </w:abstractNum>
  <w:num w:numId="1">
    <w:abstractNumId w:val="1"/>
  </w:num>
  <w:num w:numId="2">
    <w:abstractNumId w:val="10"/>
  </w:num>
  <w:num w:numId="3">
    <w:abstractNumId w:val="4"/>
  </w:num>
  <w:num w:numId="4">
    <w:abstractNumId w:val="7"/>
  </w:num>
  <w:num w:numId="5">
    <w:abstractNumId w:val="8"/>
  </w:num>
  <w:num w:numId="6">
    <w:abstractNumId w:val="3"/>
  </w:num>
  <w:num w:numId="7">
    <w:abstractNumId w:val="6"/>
  </w:num>
  <w:num w:numId="8">
    <w:abstractNumId w:val="0"/>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2C6"/>
    <w:rsid w:val="00014087"/>
    <w:rsid w:val="00026144"/>
    <w:rsid w:val="000712AF"/>
    <w:rsid w:val="000C204B"/>
    <w:rsid w:val="000C68FB"/>
    <w:rsid w:val="000E0625"/>
    <w:rsid w:val="0017516A"/>
    <w:rsid w:val="0017529E"/>
    <w:rsid w:val="001769BC"/>
    <w:rsid w:val="0019735C"/>
    <w:rsid w:val="001A63AA"/>
    <w:rsid w:val="001B2E02"/>
    <w:rsid w:val="001B51CF"/>
    <w:rsid w:val="001F1D83"/>
    <w:rsid w:val="002255CC"/>
    <w:rsid w:val="002423E4"/>
    <w:rsid w:val="00245A30"/>
    <w:rsid w:val="00245B80"/>
    <w:rsid w:val="00284E56"/>
    <w:rsid w:val="00291222"/>
    <w:rsid w:val="0029705D"/>
    <w:rsid w:val="002D1097"/>
    <w:rsid w:val="00331134"/>
    <w:rsid w:val="00340F2E"/>
    <w:rsid w:val="00351760"/>
    <w:rsid w:val="003545EC"/>
    <w:rsid w:val="00360795"/>
    <w:rsid w:val="00387FC6"/>
    <w:rsid w:val="003B0644"/>
    <w:rsid w:val="003B3708"/>
    <w:rsid w:val="003B585E"/>
    <w:rsid w:val="003C3A47"/>
    <w:rsid w:val="003D20B6"/>
    <w:rsid w:val="003E1384"/>
    <w:rsid w:val="00443A48"/>
    <w:rsid w:val="0045184D"/>
    <w:rsid w:val="004533C6"/>
    <w:rsid w:val="004751B3"/>
    <w:rsid w:val="004833B6"/>
    <w:rsid w:val="004C1F0F"/>
    <w:rsid w:val="004C6A2C"/>
    <w:rsid w:val="004E1B5F"/>
    <w:rsid w:val="004F194C"/>
    <w:rsid w:val="0052615B"/>
    <w:rsid w:val="00526C44"/>
    <w:rsid w:val="005343A1"/>
    <w:rsid w:val="00553A37"/>
    <w:rsid w:val="00556393"/>
    <w:rsid w:val="005619B3"/>
    <w:rsid w:val="00571532"/>
    <w:rsid w:val="00581407"/>
    <w:rsid w:val="005834EB"/>
    <w:rsid w:val="005A2CE8"/>
    <w:rsid w:val="005A4466"/>
    <w:rsid w:val="005D6349"/>
    <w:rsid w:val="00604232"/>
    <w:rsid w:val="006178CB"/>
    <w:rsid w:val="0062170D"/>
    <w:rsid w:val="00643710"/>
    <w:rsid w:val="0065115C"/>
    <w:rsid w:val="006522C9"/>
    <w:rsid w:val="00686EE8"/>
    <w:rsid w:val="006B1049"/>
    <w:rsid w:val="006B4B27"/>
    <w:rsid w:val="006D11CF"/>
    <w:rsid w:val="006D335E"/>
    <w:rsid w:val="006D4173"/>
    <w:rsid w:val="006D5DB5"/>
    <w:rsid w:val="006F67D1"/>
    <w:rsid w:val="007036E4"/>
    <w:rsid w:val="007041E7"/>
    <w:rsid w:val="007300E6"/>
    <w:rsid w:val="00772A5B"/>
    <w:rsid w:val="007751F1"/>
    <w:rsid w:val="007A20F7"/>
    <w:rsid w:val="007C48B2"/>
    <w:rsid w:val="007E7752"/>
    <w:rsid w:val="0080124E"/>
    <w:rsid w:val="00805A8A"/>
    <w:rsid w:val="00807FBE"/>
    <w:rsid w:val="008247CB"/>
    <w:rsid w:val="008477F8"/>
    <w:rsid w:val="0085413A"/>
    <w:rsid w:val="00897B6B"/>
    <w:rsid w:val="008E2954"/>
    <w:rsid w:val="009004B4"/>
    <w:rsid w:val="009253A3"/>
    <w:rsid w:val="00943EBC"/>
    <w:rsid w:val="00944162"/>
    <w:rsid w:val="00952837"/>
    <w:rsid w:val="009630A3"/>
    <w:rsid w:val="00980CFA"/>
    <w:rsid w:val="009A6956"/>
    <w:rsid w:val="009B343A"/>
    <w:rsid w:val="00A15E40"/>
    <w:rsid w:val="00A7363E"/>
    <w:rsid w:val="00A847DA"/>
    <w:rsid w:val="00A86E01"/>
    <w:rsid w:val="00A87CC1"/>
    <w:rsid w:val="00A9416F"/>
    <w:rsid w:val="00AA2EA1"/>
    <w:rsid w:val="00AC2705"/>
    <w:rsid w:val="00AE5AB1"/>
    <w:rsid w:val="00B0763A"/>
    <w:rsid w:val="00B37F36"/>
    <w:rsid w:val="00B5612A"/>
    <w:rsid w:val="00B563A4"/>
    <w:rsid w:val="00B67FE3"/>
    <w:rsid w:val="00B829EE"/>
    <w:rsid w:val="00B96DFA"/>
    <w:rsid w:val="00BC01C7"/>
    <w:rsid w:val="00BC77AC"/>
    <w:rsid w:val="00BF7C3F"/>
    <w:rsid w:val="00C02015"/>
    <w:rsid w:val="00C12084"/>
    <w:rsid w:val="00C16F3F"/>
    <w:rsid w:val="00C237EF"/>
    <w:rsid w:val="00C24D22"/>
    <w:rsid w:val="00C36E95"/>
    <w:rsid w:val="00C4516F"/>
    <w:rsid w:val="00C466C5"/>
    <w:rsid w:val="00C5108F"/>
    <w:rsid w:val="00C57805"/>
    <w:rsid w:val="00C77604"/>
    <w:rsid w:val="00C90102"/>
    <w:rsid w:val="00C92941"/>
    <w:rsid w:val="00C92C6D"/>
    <w:rsid w:val="00CB37E9"/>
    <w:rsid w:val="00CB62C6"/>
    <w:rsid w:val="00CC4749"/>
    <w:rsid w:val="00CF1B1C"/>
    <w:rsid w:val="00D040FA"/>
    <w:rsid w:val="00D23113"/>
    <w:rsid w:val="00D31945"/>
    <w:rsid w:val="00D60C45"/>
    <w:rsid w:val="00D72EC2"/>
    <w:rsid w:val="00D755EB"/>
    <w:rsid w:val="00D82A81"/>
    <w:rsid w:val="00D85BAD"/>
    <w:rsid w:val="00D87DE7"/>
    <w:rsid w:val="00DA3580"/>
    <w:rsid w:val="00DE6C5F"/>
    <w:rsid w:val="00DE6F1D"/>
    <w:rsid w:val="00E105E7"/>
    <w:rsid w:val="00E24281"/>
    <w:rsid w:val="00E261C9"/>
    <w:rsid w:val="00E31C1E"/>
    <w:rsid w:val="00E41EB3"/>
    <w:rsid w:val="00E51B34"/>
    <w:rsid w:val="00E635B3"/>
    <w:rsid w:val="00E64236"/>
    <w:rsid w:val="00E67FC2"/>
    <w:rsid w:val="00EA3134"/>
    <w:rsid w:val="00F25D4F"/>
    <w:rsid w:val="00F5077F"/>
    <w:rsid w:val="00F6066F"/>
    <w:rsid w:val="00F735CF"/>
    <w:rsid w:val="00F766F1"/>
    <w:rsid w:val="00F94297"/>
    <w:rsid w:val="00FB470C"/>
    <w:rsid w:val="00FC2F0B"/>
    <w:rsid w:val="00FD4B16"/>
    <w:rsid w:val="00FD6B0E"/>
    <w:rsid w:val="00FE18E0"/>
    <w:rsid w:val="00FF7429"/>
    <w:rsid w:val="0133596E"/>
    <w:rsid w:val="01461848"/>
    <w:rsid w:val="015B3E9E"/>
    <w:rsid w:val="01677108"/>
    <w:rsid w:val="019E3858"/>
    <w:rsid w:val="01B87E1C"/>
    <w:rsid w:val="020C5AC9"/>
    <w:rsid w:val="022428D2"/>
    <w:rsid w:val="023A3CCE"/>
    <w:rsid w:val="02640E97"/>
    <w:rsid w:val="026C7195"/>
    <w:rsid w:val="027118C8"/>
    <w:rsid w:val="027B6D22"/>
    <w:rsid w:val="02A00FC4"/>
    <w:rsid w:val="02A87F24"/>
    <w:rsid w:val="02B104B3"/>
    <w:rsid w:val="02C97535"/>
    <w:rsid w:val="02D86742"/>
    <w:rsid w:val="03047A9D"/>
    <w:rsid w:val="032E42C4"/>
    <w:rsid w:val="033B1C37"/>
    <w:rsid w:val="034103A7"/>
    <w:rsid w:val="03536512"/>
    <w:rsid w:val="0364036F"/>
    <w:rsid w:val="037C28A5"/>
    <w:rsid w:val="03E373B4"/>
    <w:rsid w:val="03EA423B"/>
    <w:rsid w:val="041E5DA7"/>
    <w:rsid w:val="04262C90"/>
    <w:rsid w:val="0450322A"/>
    <w:rsid w:val="0472548D"/>
    <w:rsid w:val="047E2C6D"/>
    <w:rsid w:val="04816A47"/>
    <w:rsid w:val="04A369D5"/>
    <w:rsid w:val="04EB0FDD"/>
    <w:rsid w:val="057A77A8"/>
    <w:rsid w:val="05866AE5"/>
    <w:rsid w:val="058C1864"/>
    <w:rsid w:val="05AF31D1"/>
    <w:rsid w:val="05FA1E16"/>
    <w:rsid w:val="060C6481"/>
    <w:rsid w:val="061A4553"/>
    <w:rsid w:val="063A3302"/>
    <w:rsid w:val="064C0BB3"/>
    <w:rsid w:val="06606D07"/>
    <w:rsid w:val="066874B9"/>
    <w:rsid w:val="069D366A"/>
    <w:rsid w:val="06DC40FC"/>
    <w:rsid w:val="076F0FC4"/>
    <w:rsid w:val="07940A74"/>
    <w:rsid w:val="07B42BD3"/>
    <w:rsid w:val="07B663FB"/>
    <w:rsid w:val="07F17B79"/>
    <w:rsid w:val="0859290B"/>
    <w:rsid w:val="085F48A4"/>
    <w:rsid w:val="0868720A"/>
    <w:rsid w:val="0881760C"/>
    <w:rsid w:val="08917CC8"/>
    <w:rsid w:val="08C415A0"/>
    <w:rsid w:val="08C569E1"/>
    <w:rsid w:val="08C93B82"/>
    <w:rsid w:val="08F95765"/>
    <w:rsid w:val="090D43FE"/>
    <w:rsid w:val="092A48BE"/>
    <w:rsid w:val="092F11E3"/>
    <w:rsid w:val="09624D25"/>
    <w:rsid w:val="097D0612"/>
    <w:rsid w:val="09870F1C"/>
    <w:rsid w:val="099748C2"/>
    <w:rsid w:val="09E176E1"/>
    <w:rsid w:val="09E5640B"/>
    <w:rsid w:val="09FD7EA0"/>
    <w:rsid w:val="0A4F6B90"/>
    <w:rsid w:val="0A76532B"/>
    <w:rsid w:val="0A806F72"/>
    <w:rsid w:val="0A924EC6"/>
    <w:rsid w:val="0A977680"/>
    <w:rsid w:val="0AAF4763"/>
    <w:rsid w:val="0B3E2DD8"/>
    <w:rsid w:val="0B476FB9"/>
    <w:rsid w:val="0BB64658"/>
    <w:rsid w:val="0BC94BD7"/>
    <w:rsid w:val="0BCA0F3D"/>
    <w:rsid w:val="0BE1095E"/>
    <w:rsid w:val="0BE77549"/>
    <w:rsid w:val="0C16097D"/>
    <w:rsid w:val="0C332F76"/>
    <w:rsid w:val="0C5C4BBC"/>
    <w:rsid w:val="0C5D2967"/>
    <w:rsid w:val="0C65110C"/>
    <w:rsid w:val="0C954AAF"/>
    <w:rsid w:val="0CBC65E9"/>
    <w:rsid w:val="0CD0364C"/>
    <w:rsid w:val="0D2B5310"/>
    <w:rsid w:val="0D373253"/>
    <w:rsid w:val="0D422DC1"/>
    <w:rsid w:val="0D6E2340"/>
    <w:rsid w:val="0D775BD3"/>
    <w:rsid w:val="0D7E5A1F"/>
    <w:rsid w:val="0D86792A"/>
    <w:rsid w:val="0D8F0539"/>
    <w:rsid w:val="0D9F4E5E"/>
    <w:rsid w:val="0DAC21F2"/>
    <w:rsid w:val="0DB55632"/>
    <w:rsid w:val="0DB571E4"/>
    <w:rsid w:val="0DC53D3B"/>
    <w:rsid w:val="0DC8202A"/>
    <w:rsid w:val="0DD43E7E"/>
    <w:rsid w:val="0DDB17A3"/>
    <w:rsid w:val="0DF948AC"/>
    <w:rsid w:val="0DFF7C09"/>
    <w:rsid w:val="0E100E40"/>
    <w:rsid w:val="0E1F0186"/>
    <w:rsid w:val="0E417B99"/>
    <w:rsid w:val="0E6A035D"/>
    <w:rsid w:val="0EA54309"/>
    <w:rsid w:val="0EA774F5"/>
    <w:rsid w:val="0EAC4A9A"/>
    <w:rsid w:val="0EB46C98"/>
    <w:rsid w:val="0EC747FF"/>
    <w:rsid w:val="0EDC2A41"/>
    <w:rsid w:val="0EF34664"/>
    <w:rsid w:val="0F081810"/>
    <w:rsid w:val="0F227F9D"/>
    <w:rsid w:val="0F2918D7"/>
    <w:rsid w:val="0F2A4F98"/>
    <w:rsid w:val="0F4D3B8A"/>
    <w:rsid w:val="0F5911AC"/>
    <w:rsid w:val="0F78788A"/>
    <w:rsid w:val="0F8A1E7A"/>
    <w:rsid w:val="0F9E6B3D"/>
    <w:rsid w:val="0FB17947"/>
    <w:rsid w:val="0FB61859"/>
    <w:rsid w:val="0FB827AA"/>
    <w:rsid w:val="0FC5450C"/>
    <w:rsid w:val="0FE61C11"/>
    <w:rsid w:val="100456FF"/>
    <w:rsid w:val="100C2E41"/>
    <w:rsid w:val="10181E16"/>
    <w:rsid w:val="101E12CD"/>
    <w:rsid w:val="10411799"/>
    <w:rsid w:val="10543731"/>
    <w:rsid w:val="106C4305"/>
    <w:rsid w:val="10967A88"/>
    <w:rsid w:val="109C36FB"/>
    <w:rsid w:val="1117777A"/>
    <w:rsid w:val="111E507D"/>
    <w:rsid w:val="111F5F03"/>
    <w:rsid w:val="113524F6"/>
    <w:rsid w:val="113E14F6"/>
    <w:rsid w:val="1142447B"/>
    <w:rsid w:val="1144304E"/>
    <w:rsid w:val="114A367D"/>
    <w:rsid w:val="11512987"/>
    <w:rsid w:val="115152E9"/>
    <w:rsid w:val="11547BAB"/>
    <w:rsid w:val="116672C4"/>
    <w:rsid w:val="118D6B64"/>
    <w:rsid w:val="11A02619"/>
    <w:rsid w:val="11A94894"/>
    <w:rsid w:val="11AC5E6C"/>
    <w:rsid w:val="11AD1045"/>
    <w:rsid w:val="11C81613"/>
    <w:rsid w:val="11D03E71"/>
    <w:rsid w:val="11DD65FA"/>
    <w:rsid w:val="1215304D"/>
    <w:rsid w:val="122B686C"/>
    <w:rsid w:val="12377E7F"/>
    <w:rsid w:val="124600D0"/>
    <w:rsid w:val="1256320C"/>
    <w:rsid w:val="12607BE7"/>
    <w:rsid w:val="12913272"/>
    <w:rsid w:val="12AE7FE8"/>
    <w:rsid w:val="12C51561"/>
    <w:rsid w:val="12D80469"/>
    <w:rsid w:val="12ED0D5E"/>
    <w:rsid w:val="131C3F1E"/>
    <w:rsid w:val="13254270"/>
    <w:rsid w:val="13266039"/>
    <w:rsid w:val="132B6793"/>
    <w:rsid w:val="138469DF"/>
    <w:rsid w:val="13916B12"/>
    <w:rsid w:val="13A54EA4"/>
    <w:rsid w:val="13A63FE9"/>
    <w:rsid w:val="13BE2F72"/>
    <w:rsid w:val="13C148C4"/>
    <w:rsid w:val="13E420AC"/>
    <w:rsid w:val="140467BE"/>
    <w:rsid w:val="14185CAB"/>
    <w:rsid w:val="14286FED"/>
    <w:rsid w:val="144914A6"/>
    <w:rsid w:val="14635DA8"/>
    <w:rsid w:val="14920839"/>
    <w:rsid w:val="14C16953"/>
    <w:rsid w:val="151D5289"/>
    <w:rsid w:val="15297E24"/>
    <w:rsid w:val="153C5DAB"/>
    <w:rsid w:val="15523371"/>
    <w:rsid w:val="156143C8"/>
    <w:rsid w:val="157A531F"/>
    <w:rsid w:val="15833A8C"/>
    <w:rsid w:val="15B40916"/>
    <w:rsid w:val="15C30102"/>
    <w:rsid w:val="16040A8A"/>
    <w:rsid w:val="16057114"/>
    <w:rsid w:val="16400B4A"/>
    <w:rsid w:val="165571F0"/>
    <w:rsid w:val="16CA2228"/>
    <w:rsid w:val="16F96B2F"/>
    <w:rsid w:val="170C0D26"/>
    <w:rsid w:val="172C1120"/>
    <w:rsid w:val="17460995"/>
    <w:rsid w:val="175D2715"/>
    <w:rsid w:val="17621FDF"/>
    <w:rsid w:val="17632936"/>
    <w:rsid w:val="17673D93"/>
    <w:rsid w:val="177D3C31"/>
    <w:rsid w:val="17986457"/>
    <w:rsid w:val="179A4813"/>
    <w:rsid w:val="17A129EB"/>
    <w:rsid w:val="17BE7878"/>
    <w:rsid w:val="17CA5EAD"/>
    <w:rsid w:val="17DA2D3E"/>
    <w:rsid w:val="17E255E9"/>
    <w:rsid w:val="17E42C30"/>
    <w:rsid w:val="17E569A7"/>
    <w:rsid w:val="17F51AE7"/>
    <w:rsid w:val="182038B8"/>
    <w:rsid w:val="18283080"/>
    <w:rsid w:val="183707DA"/>
    <w:rsid w:val="18637D32"/>
    <w:rsid w:val="187350FE"/>
    <w:rsid w:val="18BF7FB0"/>
    <w:rsid w:val="18C06648"/>
    <w:rsid w:val="18C20B0F"/>
    <w:rsid w:val="18C23A08"/>
    <w:rsid w:val="18C72934"/>
    <w:rsid w:val="18DA3397"/>
    <w:rsid w:val="18F63447"/>
    <w:rsid w:val="190D038B"/>
    <w:rsid w:val="19103BB1"/>
    <w:rsid w:val="192959D8"/>
    <w:rsid w:val="19981E76"/>
    <w:rsid w:val="19A1681B"/>
    <w:rsid w:val="19B54492"/>
    <w:rsid w:val="19B72EB7"/>
    <w:rsid w:val="19D90E96"/>
    <w:rsid w:val="19E52B92"/>
    <w:rsid w:val="19F77C67"/>
    <w:rsid w:val="1A011346"/>
    <w:rsid w:val="1A137755"/>
    <w:rsid w:val="1A1B7DCF"/>
    <w:rsid w:val="1A3164CE"/>
    <w:rsid w:val="1A48048E"/>
    <w:rsid w:val="1A65232C"/>
    <w:rsid w:val="1ABD1206"/>
    <w:rsid w:val="1AD36A73"/>
    <w:rsid w:val="1AEA08BB"/>
    <w:rsid w:val="1B16317A"/>
    <w:rsid w:val="1B1D0897"/>
    <w:rsid w:val="1B214665"/>
    <w:rsid w:val="1B2328DE"/>
    <w:rsid w:val="1B667398"/>
    <w:rsid w:val="1BA32267"/>
    <w:rsid w:val="1BB6579E"/>
    <w:rsid w:val="1BCC6609"/>
    <w:rsid w:val="1C004A8B"/>
    <w:rsid w:val="1C085A4E"/>
    <w:rsid w:val="1C1D05E6"/>
    <w:rsid w:val="1C1E3F0A"/>
    <w:rsid w:val="1C2E28ED"/>
    <w:rsid w:val="1C3B7335"/>
    <w:rsid w:val="1C661ADF"/>
    <w:rsid w:val="1C6A21CA"/>
    <w:rsid w:val="1C76705C"/>
    <w:rsid w:val="1C7B117A"/>
    <w:rsid w:val="1CB20D48"/>
    <w:rsid w:val="1CC527AA"/>
    <w:rsid w:val="1CEB1539"/>
    <w:rsid w:val="1D3C72EB"/>
    <w:rsid w:val="1D427365"/>
    <w:rsid w:val="1D4864F1"/>
    <w:rsid w:val="1D66708E"/>
    <w:rsid w:val="1DA0165B"/>
    <w:rsid w:val="1DA87809"/>
    <w:rsid w:val="1DB425B8"/>
    <w:rsid w:val="1DBC5553"/>
    <w:rsid w:val="1DFE52AF"/>
    <w:rsid w:val="1E3155CE"/>
    <w:rsid w:val="1E380C32"/>
    <w:rsid w:val="1E5D5B68"/>
    <w:rsid w:val="1E787A97"/>
    <w:rsid w:val="1E851368"/>
    <w:rsid w:val="1E992D34"/>
    <w:rsid w:val="1EDD7466"/>
    <w:rsid w:val="1EE80EEA"/>
    <w:rsid w:val="1F1F369F"/>
    <w:rsid w:val="1F207A77"/>
    <w:rsid w:val="1F2A0C01"/>
    <w:rsid w:val="1F437925"/>
    <w:rsid w:val="1F700133"/>
    <w:rsid w:val="1F93758D"/>
    <w:rsid w:val="1FC36DDD"/>
    <w:rsid w:val="1FEE49B0"/>
    <w:rsid w:val="1FF308E0"/>
    <w:rsid w:val="20042F38"/>
    <w:rsid w:val="20645E7D"/>
    <w:rsid w:val="20857D80"/>
    <w:rsid w:val="20A11221"/>
    <w:rsid w:val="20D43DD2"/>
    <w:rsid w:val="20EA4832"/>
    <w:rsid w:val="20EC4872"/>
    <w:rsid w:val="20F04153"/>
    <w:rsid w:val="21020818"/>
    <w:rsid w:val="210E7CC9"/>
    <w:rsid w:val="211B1E57"/>
    <w:rsid w:val="211B3633"/>
    <w:rsid w:val="211E3D3C"/>
    <w:rsid w:val="213B075F"/>
    <w:rsid w:val="21623673"/>
    <w:rsid w:val="21C81E11"/>
    <w:rsid w:val="21C862C2"/>
    <w:rsid w:val="21F063B8"/>
    <w:rsid w:val="22053A90"/>
    <w:rsid w:val="220C15BC"/>
    <w:rsid w:val="221122DF"/>
    <w:rsid w:val="223915E4"/>
    <w:rsid w:val="22520E7D"/>
    <w:rsid w:val="22575AF3"/>
    <w:rsid w:val="22A12046"/>
    <w:rsid w:val="22B91088"/>
    <w:rsid w:val="22BF37DF"/>
    <w:rsid w:val="22EC0748"/>
    <w:rsid w:val="230C118A"/>
    <w:rsid w:val="231653AD"/>
    <w:rsid w:val="236065AE"/>
    <w:rsid w:val="238B327C"/>
    <w:rsid w:val="23954C84"/>
    <w:rsid w:val="23D62A2F"/>
    <w:rsid w:val="240256A8"/>
    <w:rsid w:val="24037EFF"/>
    <w:rsid w:val="242113EB"/>
    <w:rsid w:val="244C3A2E"/>
    <w:rsid w:val="246003BF"/>
    <w:rsid w:val="247010D4"/>
    <w:rsid w:val="247146D8"/>
    <w:rsid w:val="24714E1B"/>
    <w:rsid w:val="247E7C36"/>
    <w:rsid w:val="24875364"/>
    <w:rsid w:val="248C504D"/>
    <w:rsid w:val="24E52624"/>
    <w:rsid w:val="24E95FE3"/>
    <w:rsid w:val="251B7EE4"/>
    <w:rsid w:val="252C0F49"/>
    <w:rsid w:val="255C62C8"/>
    <w:rsid w:val="257F407C"/>
    <w:rsid w:val="258200E6"/>
    <w:rsid w:val="25B6479B"/>
    <w:rsid w:val="25D57765"/>
    <w:rsid w:val="25F43786"/>
    <w:rsid w:val="25F8062B"/>
    <w:rsid w:val="26216557"/>
    <w:rsid w:val="262475B7"/>
    <w:rsid w:val="26497407"/>
    <w:rsid w:val="26514694"/>
    <w:rsid w:val="26676AC5"/>
    <w:rsid w:val="26897B1C"/>
    <w:rsid w:val="268C3720"/>
    <w:rsid w:val="268F1400"/>
    <w:rsid w:val="26C24587"/>
    <w:rsid w:val="271B2DD5"/>
    <w:rsid w:val="2760275A"/>
    <w:rsid w:val="278368FC"/>
    <w:rsid w:val="27861465"/>
    <w:rsid w:val="279C342A"/>
    <w:rsid w:val="27F75582"/>
    <w:rsid w:val="27FE7AD7"/>
    <w:rsid w:val="28210D20"/>
    <w:rsid w:val="28305F9A"/>
    <w:rsid w:val="28536DCA"/>
    <w:rsid w:val="286112F0"/>
    <w:rsid w:val="288C101B"/>
    <w:rsid w:val="28B70FF7"/>
    <w:rsid w:val="28CB4339"/>
    <w:rsid w:val="2907794A"/>
    <w:rsid w:val="290F4730"/>
    <w:rsid w:val="29351FBC"/>
    <w:rsid w:val="29411A90"/>
    <w:rsid w:val="2950462F"/>
    <w:rsid w:val="296078CB"/>
    <w:rsid w:val="297D19D5"/>
    <w:rsid w:val="298161F5"/>
    <w:rsid w:val="29AD291C"/>
    <w:rsid w:val="29C144DB"/>
    <w:rsid w:val="29C906B4"/>
    <w:rsid w:val="29E73D53"/>
    <w:rsid w:val="29ED5816"/>
    <w:rsid w:val="2A1364A1"/>
    <w:rsid w:val="2A144C63"/>
    <w:rsid w:val="2A19140E"/>
    <w:rsid w:val="2AA1195D"/>
    <w:rsid w:val="2B0A26C8"/>
    <w:rsid w:val="2B486D81"/>
    <w:rsid w:val="2B647724"/>
    <w:rsid w:val="2B837033"/>
    <w:rsid w:val="2B956EE4"/>
    <w:rsid w:val="2BC1129B"/>
    <w:rsid w:val="2BE02247"/>
    <w:rsid w:val="2BEE1C7C"/>
    <w:rsid w:val="2C212A33"/>
    <w:rsid w:val="2C2506C3"/>
    <w:rsid w:val="2C2E532E"/>
    <w:rsid w:val="2C607051"/>
    <w:rsid w:val="2C63374B"/>
    <w:rsid w:val="2C6B0683"/>
    <w:rsid w:val="2C6B241C"/>
    <w:rsid w:val="2C7B7CDB"/>
    <w:rsid w:val="2C8F164D"/>
    <w:rsid w:val="2C9071CC"/>
    <w:rsid w:val="2CAE4140"/>
    <w:rsid w:val="2CD56523"/>
    <w:rsid w:val="2CF2578E"/>
    <w:rsid w:val="2D3E1D02"/>
    <w:rsid w:val="2D512905"/>
    <w:rsid w:val="2DAF359F"/>
    <w:rsid w:val="2DFA45A4"/>
    <w:rsid w:val="2DFF1F0C"/>
    <w:rsid w:val="2E071100"/>
    <w:rsid w:val="2E07540C"/>
    <w:rsid w:val="2E3C7B5F"/>
    <w:rsid w:val="2E7537ED"/>
    <w:rsid w:val="2E8C4FB4"/>
    <w:rsid w:val="2EA35B6E"/>
    <w:rsid w:val="2EAA35D9"/>
    <w:rsid w:val="2ECA0967"/>
    <w:rsid w:val="2F1437AD"/>
    <w:rsid w:val="2F150A5D"/>
    <w:rsid w:val="2F1620B9"/>
    <w:rsid w:val="2F2355C6"/>
    <w:rsid w:val="2F342909"/>
    <w:rsid w:val="2F480807"/>
    <w:rsid w:val="2F5E711F"/>
    <w:rsid w:val="2F6D1054"/>
    <w:rsid w:val="2F837707"/>
    <w:rsid w:val="2F9C6039"/>
    <w:rsid w:val="2FCC23DC"/>
    <w:rsid w:val="2FFD1EB3"/>
    <w:rsid w:val="302B576E"/>
    <w:rsid w:val="30491F9C"/>
    <w:rsid w:val="3054754D"/>
    <w:rsid w:val="305A2E79"/>
    <w:rsid w:val="307D361D"/>
    <w:rsid w:val="30833596"/>
    <w:rsid w:val="3098522F"/>
    <w:rsid w:val="30BA4E51"/>
    <w:rsid w:val="30DE5CA0"/>
    <w:rsid w:val="30E528D6"/>
    <w:rsid w:val="30E835C2"/>
    <w:rsid w:val="30F6595A"/>
    <w:rsid w:val="31091ECA"/>
    <w:rsid w:val="31414668"/>
    <w:rsid w:val="31591510"/>
    <w:rsid w:val="31656072"/>
    <w:rsid w:val="31853BA7"/>
    <w:rsid w:val="318F2D22"/>
    <w:rsid w:val="31BD670B"/>
    <w:rsid w:val="31DB7925"/>
    <w:rsid w:val="321E56F0"/>
    <w:rsid w:val="321F1C16"/>
    <w:rsid w:val="323345F9"/>
    <w:rsid w:val="32607FE2"/>
    <w:rsid w:val="32C603D1"/>
    <w:rsid w:val="32E84FB6"/>
    <w:rsid w:val="32EE6FA3"/>
    <w:rsid w:val="33066C09"/>
    <w:rsid w:val="330F082B"/>
    <w:rsid w:val="33711503"/>
    <w:rsid w:val="33DB7D37"/>
    <w:rsid w:val="33DE57A7"/>
    <w:rsid w:val="33F73B16"/>
    <w:rsid w:val="34086DC8"/>
    <w:rsid w:val="34122AEE"/>
    <w:rsid w:val="34522CBF"/>
    <w:rsid w:val="345351C4"/>
    <w:rsid w:val="345521AA"/>
    <w:rsid w:val="34627648"/>
    <w:rsid w:val="346507F4"/>
    <w:rsid w:val="348B69B5"/>
    <w:rsid w:val="349E3BC9"/>
    <w:rsid w:val="34AA6988"/>
    <w:rsid w:val="34D45664"/>
    <w:rsid w:val="34D86B49"/>
    <w:rsid w:val="34E31D74"/>
    <w:rsid w:val="3508437E"/>
    <w:rsid w:val="350D3D40"/>
    <w:rsid w:val="3524228F"/>
    <w:rsid w:val="35454D17"/>
    <w:rsid w:val="354615CF"/>
    <w:rsid w:val="354B2571"/>
    <w:rsid w:val="35533426"/>
    <w:rsid w:val="358A404B"/>
    <w:rsid w:val="35A60F93"/>
    <w:rsid w:val="35CC027E"/>
    <w:rsid w:val="35D66010"/>
    <w:rsid w:val="35DB65BA"/>
    <w:rsid w:val="35FE3DFD"/>
    <w:rsid w:val="35FF629B"/>
    <w:rsid w:val="3634011A"/>
    <w:rsid w:val="365A0F11"/>
    <w:rsid w:val="365D7173"/>
    <w:rsid w:val="367335B0"/>
    <w:rsid w:val="367E22D8"/>
    <w:rsid w:val="367E5ADA"/>
    <w:rsid w:val="369B0063"/>
    <w:rsid w:val="36A2434E"/>
    <w:rsid w:val="36C65977"/>
    <w:rsid w:val="36D21EE8"/>
    <w:rsid w:val="36E63AF9"/>
    <w:rsid w:val="36FF781E"/>
    <w:rsid w:val="370B55BB"/>
    <w:rsid w:val="370F12B3"/>
    <w:rsid w:val="37173A7F"/>
    <w:rsid w:val="37273AD4"/>
    <w:rsid w:val="37536041"/>
    <w:rsid w:val="376067CF"/>
    <w:rsid w:val="37683B7D"/>
    <w:rsid w:val="376D146B"/>
    <w:rsid w:val="37773BFB"/>
    <w:rsid w:val="37945DA4"/>
    <w:rsid w:val="379508F7"/>
    <w:rsid w:val="37C73E60"/>
    <w:rsid w:val="37D94D90"/>
    <w:rsid w:val="37DC74A4"/>
    <w:rsid w:val="37E70255"/>
    <w:rsid w:val="37FF65DB"/>
    <w:rsid w:val="380478A1"/>
    <w:rsid w:val="380638B2"/>
    <w:rsid w:val="383B4C75"/>
    <w:rsid w:val="3841593D"/>
    <w:rsid w:val="3850289F"/>
    <w:rsid w:val="385717DE"/>
    <w:rsid w:val="38754053"/>
    <w:rsid w:val="38820BF5"/>
    <w:rsid w:val="38EA6DC3"/>
    <w:rsid w:val="392E1E1B"/>
    <w:rsid w:val="39600722"/>
    <w:rsid w:val="3975609D"/>
    <w:rsid w:val="397A35FA"/>
    <w:rsid w:val="39AA2DBA"/>
    <w:rsid w:val="39B53C90"/>
    <w:rsid w:val="39C6134B"/>
    <w:rsid w:val="39DF3C42"/>
    <w:rsid w:val="39E07611"/>
    <w:rsid w:val="3A0C1836"/>
    <w:rsid w:val="3A4E273B"/>
    <w:rsid w:val="3A6F4EF6"/>
    <w:rsid w:val="3A7278E2"/>
    <w:rsid w:val="3A935AFF"/>
    <w:rsid w:val="3AC43914"/>
    <w:rsid w:val="3AD57F50"/>
    <w:rsid w:val="3AEB6D5D"/>
    <w:rsid w:val="3AFE0288"/>
    <w:rsid w:val="3B045A2C"/>
    <w:rsid w:val="3B1C18F4"/>
    <w:rsid w:val="3B2700BE"/>
    <w:rsid w:val="3B2E1A84"/>
    <w:rsid w:val="3B5C13D9"/>
    <w:rsid w:val="3B885683"/>
    <w:rsid w:val="3B8D02F8"/>
    <w:rsid w:val="3BA8732B"/>
    <w:rsid w:val="3BBB6619"/>
    <w:rsid w:val="3BC66443"/>
    <w:rsid w:val="3BCF7E58"/>
    <w:rsid w:val="3BDA7B91"/>
    <w:rsid w:val="3BDC02F9"/>
    <w:rsid w:val="3BEC7927"/>
    <w:rsid w:val="3C106EF7"/>
    <w:rsid w:val="3C57141B"/>
    <w:rsid w:val="3C5B1141"/>
    <w:rsid w:val="3C644A7F"/>
    <w:rsid w:val="3CB13FB4"/>
    <w:rsid w:val="3CC34987"/>
    <w:rsid w:val="3CE47747"/>
    <w:rsid w:val="3CF35F67"/>
    <w:rsid w:val="3CFE4C3F"/>
    <w:rsid w:val="3D467A60"/>
    <w:rsid w:val="3D4B69F2"/>
    <w:rsid w:val="3D532CEE"/>
    <w:rsid w:val="3D7C2A9A"/>
    <w:rsid w:val="3DB2106D"/>
    <w:rsid w:val="3DC2001B"/>
    <w:rsid w:val="3DD64E4C"/>
    <w:rsid w:val="3E0E22A6"/>
    <w:rsid w:val="3E680483"/>
    <w:rsid w:val="3E8161B8"/>
    <w:rsid w:val="3E884F33"/>
    <w:rsid w:val="3EC57B21"/>
    <w:rsid w:val="3EC70C8E"/>
    <w:rsid w:val="3F130CD1"/>
    <w:rsid w:val="3F187022"/>
    <w:rsid w:val="3F2E2BA7"/>
    <w:rsid w:val="3F473363"/>
    <w:rsid w:val="3F855BE0"/>
    <w:rsid w:val="3F894D0B"/>
    <w:rsid w:val="3F895B99"/>
    <w:rsid w:val="3FDA1548"/>
    <w:rsid w:val="3FF44016"/>
    <w:rsid w:val="400024B0"/>
    <w:rsid w:val="40261788"/>
    <w:rsid w:val="40585CD9"/>
    <w:rsid w:val="40610C63"/>
    <w:rsid w:val="40716399"/>
    <w:rsid w:val="4093556B"/>
    <w:rsid w:val="409C01B3"/>
    <w:rsid w:val="40B55DA9"/>
    <w:rsid w:val="40B93DE2"/>
    <w:rsid w:val="40C26F1D"/>
    <w:rsid w:val="40C87389"/>
    <w:rsid w:val="40D1071C"/>
    <w:rsid w:val="40FC3712"/>
    <w:rsid w:val="411010C0"/>
    <w:rsid w:val="411F509A"/>
    <w:rsid w:val="414124F7"/>
    <w:rsid w:val="417C7797"/>
    <w:rsid w:val="41B43BB3"/>
    <w:rsid w:val="41FF0EC2"/>
    <w:rsid w:val="42113676"/>
    <w:rsid w:val="421427AE"/>
    <w:rsid w:val="42144096"/>
    <w:rsid w:val="421E43DE"/>
    <w:rsid w:val="422000AF"/>
    <w:rsid w:val="422D742F"/>
    <w:rsid w:val="42877F69"/>
    <w:rsid w:val="428D4F3B"/>
    <w:rsid w:val="42F51C8E"/>
    <w:rsid w:val="432949FD"/>
    <w:rsid w:val="43371F40"/>
    <w:rsid w:val="43381FFB"/>
    <w:rsid w:val="43395E65"/>
    <w:rsid w:val="43511998"/>
    <w:rsid w:val="436A1D2E"/>
    <w:rsid w:val="43A41406"/>
    <w:rsid w:val="43B861F6"/>
    <w:rsid w:val="43BD0343"/>
    <w:rsid w:val="43BD4169"/>
    <w:rsid w:val="43CE53FC"/>
    <w:rsid w:val="43F02F13"/>
    <w:rsid w:val="43FF2C63"/>
    <w:rsid w:val="44041F64"/>
    <w:rsid w:val="44170438"/>
    <w:rsid w:val="44223BD9"/>
    <w:rsid w:val="44336850"/>
    <w:rsid w:val="446C677B"/>
    <w:rsid w:val="44750252"/>
    <w:rsid w:val="44795744"/>
    <w:rsid w:val="44994780"/>
    <w:rsid w:val="449C4F93"/>
    <w:rsid w:val="44BD17A5"/>
    <w:rsid w:val="44C91C09"/>
    <w:rsid w:val="44CA4C75"/>
    <w:rsid w:val="44CB0CE3"/>
    <w:rsid w:val="451D6DD4"/>
    <w:rsid w:val="45401073"/>
    <w:rsid w:val="455231B2"/>
    <w:rsid w:val="45730D10"/>
    <w:rsid w:val="458202EA"/>
    <w:rsid w:val="458367EE"/>
    <w:rsid w:val="458B4BCD"/>
    <w:rsid w:val="459B7A47"/>
    <w:rsid w:val="45CF5FE7"/>
    <w:rsid w:val="460A1D4F"/>
    <w:rsid w:val="461B7756"/>
    <w:rsid w:val="463071C7"/>
    <w:rsid w:val="465B2357"/>
    <w:rsid w:val="465C4867"/>
    <w:rsid w:val="468D1224"/>
    <w:rsid w:val="46B263B7"/>
    <w:rsid w:val="46BF1863"/>
    <w:rsid w:val="46C40EE3"/>
    <w:rsid w:val="46F17D02"/>
    <w:rsid w:val="46F35594"/>
    <w:rsid w:val="471E694B"/>
    <w:rsid w:val="47573CB3"/>
    <w:rsid w:val="475E5F5E"/>
    <w:rsid w:val="47C70004"/>
    <w:rsid w:val="47DA1B01"/>
    <w:rsid w:val="47DF0C46"/>
    <w:rsid w:val="480C110E"/>
    <w:rsid w:val="48207A0B"/>
    <w:rsid w:val="48331FBC"/>
    <w:rsid w:val="484B1329"/>
    <w:rsid w:val="486D4EDB"/>
    <w:rsid w:val="487849A6"/>
    <w:rsid w:val="487A44FE"/>
    <w:rsid w:val="48AC07B6"/>
    <w:rsid w:val="48C645E8"/>
    <w:rsid w:val="48D518E2"/>
    <w:rsid w:val="48D626CD"/>
    <w:rsid w:val="48FD1F86"/>
    <w:rsid w:val="49095F63"/>
    <w:rsid w:val="49165E9B"/>
    <w:rsid w:val="49461E94"/>
    <w:rsid w:val="495811B8"/>
    <w:rsid w:val="49662DF7"/>
    <w:rsid w:val="49713B2E"/>
    <w:rsid w:val="4989227C"/>
    <w:rsid w:val="49AC62A4"/>
    <w:rsid w:val="49B421FF"/>
    <w:rsid w:val="49C325B4"/>
    <w:rsid w:val="4A00107E"/>
    <w:rsid w:val="4A223096"/>
    <w:rsid w:val="4A644776"/>
    <w:rsid w:val="4A67319D"/>
    <w:rsid w:val="4A8711EC"/>
    <w:rsid w:val="4A91662F"/>
    <w:rsid w:val="4AAA0ACE"/>
    <w:rsid w:val="4ABA0C1E"/>
    <w:rsid w:val="4ADB766E"/>
    <w:rsid w:val="4AE06550"/>
    <w:rsid w:val="4AE60C54"/>
    <w:rsid w:val="4B14445B"/>
    <w:rsid w:val="4B460F80"/>
    <w:rsid w:val="4B4768F3"/>
    <w:rsid w:val="4B850624"/>
    <w:rsid w:val="4BF21279"/>
    <w:rsid w:val="4BFE4EF7"/>
    <w:rsid w:val="4C327910"/>
    <w:rsid w:val="4C4D794B"/>
    <w:rsid w:val="4C59112F"/>
    <w:rsid w:val="4C72656D"/>
    <w:rsid w:val="4C7C19BB"/>
    <w:rsid w:val="4CB90597"/>
    <w:rsid w:val="4CCC11F3"/>
    <w:rsid w:val="4CEB7D58"/>
    <w:rsid w:val="4CFA2342"/>
    <w:rsid w:val="4D5D290A"/>
    <w:rsid w:val="4D692B25"/>
    <w:rsid w:val="4D6A3125"/>
    <w:rsid w:val="4D954F0C"/>
    <w:rsid w:val="4D962417"/>
    <w:rsid w:val="4DA66E43"/>
    <w:rsid w:val="4DDB6DAA"/>
    <w:rsid w:val="4E1D44E7"/>
    <w:rsid w:val="4E254E6B"/>
    <w:rsid w:val="4E331FEE"/>
    <w:rsid w:val="4E4146DB"/>
    <w:rsid w:val="4E4D54AC"/>
    <w:rsid w:val="4E9B3144"/>
    <w:rsid w:val="4E9F667B"/>
    <w:rsid w:val="4EB17675"/>
    <w:rsid w:val="4EC91C50"/>
    <w:rsid w:val="4EDA4C03"/>
    <w:rsid w:val="4EE12736"/>
    <w:rsid w:val="4EEC0677"/>
    <w:rsid w:val="4F006479"/>
    <w:rsid w:val="4F080C98"/>
    <w:rsid w:val="4F44601D"/>
    <w:rsid w:val="4F6301BF"/>
    <w:rsid w:val="4FA0498F"/>
    <w:rsid w:val="4FB82FA9"/>
    <w:rsid w:val="4FC90452"/>
    <w:rsid w:val="4FD11C5D"/>
    <w:rsid w:val="4FD34BE4"/>
    <w:rsid w:val="4FFB1083"/>
    <w:rsid w:val="50064513"/>
    <w:rsid w:val="50161392"/>
    <w:rsid w:val="50375F96"/>
    <w:rsid w:val="503C176B"/>
    <w:rsid w:val="50576939"/>
    <w:rsid w:val="506D29D0"/>
    <w:rsid w:val="50790418"/>
    <w:rsid w:val="508546D2"/>
    <w:rsid w:val="50894798"/>
    <w:rsid w:val="50A26CF0"/>
    <w:rsid w:val="50A56B58"/>
    <w:rsid w:val="50B27578"/>
    <w:rsid w:val="50C757C8"/>
    <w:rsid w:val="51014059"/>
    <w:rsid w:val="512B156E"/>
    <w:rsid w:val="519472A9"/>
    <w:rsid w:val="51C37CDC"/>
    <w:rsid w:val="51C70456"/>
    <w:rsid w:val="51C862D0"/>
    <w:rsid w:val="51CA2F2C"/>
    <w:rsid w:val="52182EB3"/>
    <w:rsid w:val="52203A14"/>
    <w:rsid w:val="524830A3"/>
    <w:rsid w:val="525A5CCE"/>
    <w:rsid w:val="52A11978"/>
    <w:rsid w:val="52AE139D"/>
    <w:rsid w:val="52BF42B1"/>
    <w:rsid w:val="52F30E5A"/>
    <w:rsid w:val="53160D39"/>
    <w:rsid w:val="53286111"/>
    <w:rsid w:val="53320D06"/>
    <w:rsid w:val="534B0BD9"/>
    <w:rsid w:val="53651663"/>
    <w:rsid w:val="53734944"/>
    <w:rsid w:val="539B2D38"/>
    <w:rsid w:val="53AE4788"/>
    <w:rsid w:val="53CE041B"/>
    <w:rsid w:val="53D45E6E"/>
    <w:rsid w:val="53E16FE9"/>
    <w:rsid w:val="53E768C7"/>
    <w:rsid w:val="540C41F4"/>
    <w:rsid w:val="544D422C"/>
    <w:rsid w:val="545C062D"/>
    <w:rsid w:val="54855667"/>
    <w:rsid w:val="54C0734B"/>
    <w:rsid w:val="54C835F6"/>
    <w:rsid w:val="54DF39BD"/>
    <w:rsid w:val="54E53C53"/>
    <w:rsid w:val="55041D1C"/>
    <w:rsid w:val="551D71AD"/>
    <w:rsid w:val="553C6F29"/>
    <w:rsid w:val="5543006C"/>
    <w:rsid w:val="555845C6"/>
    <w:rsid w:val="555F7B8C"/>
    <w:rsid w:val="55BC0E9B"/>
    <w:rsid w:val="55CD7457"/>
    <w:rsid w:val="55E43B51"/>
    <w:rsid w:val="55E43F2F"/>
    <w:rsid w:val="55F545E4"/>
    <w:rsid w:val="56090EF7"/>
    <w:rsid w:val="561A710B"/>
    <w:rsid w:val="56496D1A"/>
    <w:rsid w:val="566C0601"/>
    <w:rsid w:val="56882E18"/>
    <w:rsid w:val="56D73E07"/>
    <w:rsid w:val="57191E86"/>
    <w:rsid w:val="572F0078"/>
    <w:rsid w:val="57610E91"/>
    <w:rsid w:val="5769403C"/>
    <w:rsid w:val="57866D0A"/>
    <w:rsid w:val="57B63326"/>
    <w:rsid w:val="57C641D4"/>
    <w:rsid w:val="57E66B51"/>
    <w:rsid w:val="57FD6C8E"/>
    <w:rsid w:val="58704AD3"/>
    <w:rsid w:val="589225AA"/>
    <w:rsid w:val="58FF7D8C"/>
    <w:rsid w:val="59006127"/>
    <w:rsid w:val="590A0965"/>
    <w:rsid w:val="592703B4"/>
    <w:rsid w:val="594E650D"/>
    <w:rsid w:val="595B4190"/>
    <w:rsid w:val="596B1DA3"/>
    <w:rsid w:val="597627B7"/>
    <w:rsid w:val="597D3501"/>
    <w:rsid w:val="59902514"/>
    <w:rsid w:val="599C427C"/>
    <w:rsid w:val="59BF15D5"/>
    <w:rsid w:val="59CC1E11"/>
    <w:rsid w:val="5A233C0D"/>
    <w:rsid w:val="5A285D9C"/>
    <w:rsid w:val="5A3D1617"/>
    <w:rsid w:val="5A502D3B"/>
    <w:rsid w:val="5A52598A"/>
    <w:rsid w:val="5A6A7BBF"/>
    <w:rsid w:val="5A7705FB"/>
    <w:rsid w:val="5A8C1410"/>
    <w:rsid w:val="5A9B20A7"/>
    <w:rsid w:val="5AF017AC"/>
    <w:rsid w:val="5B330722"/>
    <w:rsid w:val="5B3E3267"/>
    <w:rsid w:val="5B4F4C4B"/>
    <w:rsid w:val="5B5729F8"/>
    <w:rsid w:val="5B6D3473"/>
    <w:rsid w:val="5B943DE0"/>
    <w:rsid w:val="5BAB453F"/>
    <w:rsid w:val="5BD61851"/>
    <w:rsid w:val="5BEF7D06"/>
    <w:rsid w:val="5C1C673F"/>
    <w:rsid w:val="5C557709"/>
    <w:rsid w:val="5CE73812"/>
    <w:rsid w:val="5CEB6F1A"/>
    <w:rsid w:val="5CF53816"/>
    <w:rsid w:val="5CF87EF0"/>
    <w:rsid w:val="5D313A0C"/>
    <w:rsid w:val="5D3D3BA9"/>
    <w:rsid w:val="5D4058E2"/>
    <w:rsid w:val="5D414676"/>
    <w:rsid w:val="5D841A2D"/>
    <w:rsid w:val="5D8D3ABF"/>
    <w:rsid w:val="5D934525"/>
    <w:rsid w:val="5DB26647"/>
    <w:rsid w:val="5DBD7115"/>
    <w:rsid w:val="5DE5011A"/>
    <w:rsid w:val="5DEE700F"/>
    <w:rsid w:val="5DFE3E53"/>
    <w:rsid w:val="5DFF3370"/>
    <w:rsid w:val="5E255681"/>
    <w:rsid w:val="5E305619"/>
    <w:rsid w:val="5E342533"/>
    <w:rsid w:val="5E4108AD"/>
    <w:rsid w:val="5E4767A0"/>
    <w:rsid w:val="5E585E3E"/>
    <w:rsid w:val="5E5C4D27"/>
    <w:rsid w:val="5E6B546B"/>
    <w:rsid w:val="5E7A4180"/>
    <w:rsid w:val="5E9F14B4"/>
    <w:rsid w:val="5EB57FC0"/>
    <w:rsid w:val="5ED31B42"/>
    <w:rsid w:val="5EE53EC4"/>
    <w:rsid w:val="5EEA79AE"/>
    <w:rsid w:val="5EED692F"/>
    <w:rsid w:val="5EF17BBF"/>
    <w:rsid w:val="5F690F96"/>
    <w:rsid w:val="5F6B7A92"/>
    <w:rsid w:val="5F832EB7"/>
    <w:rsid w:val="5F9F1DD0"/>
    <w:rsid w:val="5FBE3269"/>
    <w:rsid w:val="60092ED0"/>
    <w:rsid w:val="60175925"/>
    <w:rsid w:val="60263C1A"/>
    <w:rsid w:val="6031017F"/>
    <w:rsid w:val="60404034"/>
    <w:rsid w:val="604D2D37"/>
    <w:rsid w:val="60577795"/>
    <w:rsid w:val="60717942"/>
    <w:rsid w:val="6078035B"/>
    <w:rsid w:val="608D7FAC"/>
    <w:rsid w:val="60B55880"/>
    <w:rsid w:val="60CD4F3A"/>
    <w:rsid w:val="60E659FE"/>
    <w:rsid w:val="60F64B14"/>
    <w:rsid w:val="60F64D5E"/>
    <w:rsid w:val="6145429F"/>
    <w:rsid w:val="616A7AF0"/>
    <w:rsid w:val="618261C8"/>
    <w:rsid w:val="619A2BEE"/>
    <w:rsid w:val="61A2506C"/>
    <w:rsid w:val="61AF532A"/>
    <w:rsid w:val="61B87942"/>
    <w:rsid w:val="61C71217"/>
    <w:rsid w:val="61F60759"/>
    <w:rsid w:val="61FF60E0"/>
    <w:rsid w:val="62147BDB"/>
    <w:rsid w:val="626311D5"/>
    <w:rsid w:val="627532A6"/>
    <w:rsid w:val="6281488A"/>
    <w:rsid w:val="628F389B"/>
    <w:rsid w:val="62935879"/>
    <w:rsid w:val="62B33F1F"/>
    <w:rsid w:val="62F310CC"/>
    <w:rsid w:val="62FA27CE"/>
    <w:rsid w:val="63056400"/>
    <w:rsid w:val="6305724E"/>
    <w:rsid w:val="632B2760"/>
    <w:rsid w:val="632E6EC6"/>
    <w:rsid w:val="633B1B02"/>
    <w:rsid w:val="633F5529"/>
    <w:rsid w:val="63556BF8"/>
    <w:rsid w:val="637F415A"/>
    <w:rsid w:val="639740FE"/>
    <w:rsid w:val="63F01325"/>
    <w:rsid w:val="63FF45D5"/>
    <w:rsid w:val="6402784D"/>
    <w:rsid w:val="6439198A"/>
    <w:rsid w:val="644766F5"/>
    <w:rsid w:val="645304A5"/>
    <w:rsid w:val="64532677"/>
    <w:rsid w:val="647069A4"/>
    <w:rsid w:val="64EE03A3"/>
    <w:rsid w:val="64F227F5"/>
    <w:rsid w:val="654C7A32"/>
    <w:rsid w:val="655C4440"/>
    <w:rsid w:val="657C4764"/>
    <w:rsid w:val="657E1D3F"/>
    <w:rsid w:val="65973793"/>
    <w:rsid w:val="65A454F9"/>
    <w:rsid w:val="65CC1A30"/>
    <w:rsid w:val="65D72529"/>
    <w:rsid w:val="65E13836"/>
    <w:rsid w:val="65EB5472"/>
    <w:rsid w:val="65F731E9"/>
    <w:rsid w:val="65FB57A4"/>
    <w:rsid w:val="660E7340"/>
    <w:rsid w:val="662809FC"/>
    <w:rsid w:val="662E353F"/>
    <w:rsid w:val="663F06A4"/>
    <w:rsid w:val="66532045"/>
    <w:rsid w:val="665E448C"/>
    <w:rsid w:val="66716FF7"/>
    <w:rsid w:val="66835BBF"/>
    <w:rsid w:val="66856B05"/>
    <w:rsid w:val="668E4368"/>
    <w:rsid w:val="66AB7165"/>
    <w:rsid w:val="66B35E33"/>
    <w:rsid w:val="66F74025"/>
    <w:rsid w:val="671E564F"/>
    <w:rsid w:val="6722087A"/>
    <w:rsid w:val="673F0682"/>
    <w:rsid w:val="673F1255"/>
    <w:rsid w:val="675F0B46"/>
    <w:rsid w:val="675F4E78"/>
    <w:rsid w:val="678D3D2C"/>
    <w:rsid w:val="67985A98"/>
    <w:rsid w:val="680772E3"/>
    <w:rsid w:val="68120062"/>
    <w:rsid w:val="681E1566"/>
    <w:rsid w:val="683E772D"/>
    <w:rsid w:val="686E5539"/>
    <w:rsid w:val="68A73287"/>
    <w:rsid w:val="68C34543"/>
    <w:rsid w:val="68C40EC3"/>
    <w:rsid w:val="68CB1C61"/>
    <w:rsid w:val="691D18C0"/>
    <w:rsid w:val="692433B5"/>
    <w:rsid w:val="692438FB"/>
    <w:rsid w:val="692840F4"/>
    <w:rsid w:val="692F025A"/>
    <w:rsid w:val="69326304"/>
    <w:rsid w:val="69362320"/>
    <w:rsid w:val="693E1400"/>
    <w:rsid w:val="693F3542"/>
    <w:rsid w:val="69631D45"/>
    <w:rsid w:val="696816CE"/>
    <w:rsid w:val="69866422"/>
    <w:rsid w:val="69933D76"/>
    <w:rsid w:val="69BC56A1"/>
    <w:rsid w:val="69CA1AB4"/>
    <w:rsid w:val="69CC6B99"/>
    <w:rsid w:val="6A15796C"/>
    <w:rsid w:val="6A8949F7"/>
    <w:rsid w:val="6A8A2AAC"/>
    <w:rsid w:val="6AA34486"/>
    <w:rsid w:val="6ABE5D5F"/>
    <w:rsid w:val="6AF73BA0"/>
    <w:rsid w:val="6AFD4E80"/>
    <w:rsid w:val="6B325388"/>
    <w:rsid w:val="6B440437"/>
    <w:rsid w:val="6B7200ED"/>
    <w:rsid w:val="6B766E72"/>
    <w:rsid w:val="6B996A11"/>
    <w:rsid w:val="6BAB5D3C"/>
    <w:rsid w:val="6BC63347"/>
    <w:rsid w:val="6BE9569A"/>
    <w:rsid w:val="6C2E1230"/>
    <w:rsid w:val="6C3F2909"/>
    <w:rsid w:val="6C511F21"/>
    <w:rsid w:val="6CA02052"/>
    <w:rsid w:val="6CA92881"/>
    <w:rsid w:val="6CC12E18"/>
    <w:rsid w:val="6CCC1615"/>
    <w:rsid w:val="6D103750"/>
    <w:rsid w:val="6D126883"/>
    <w:rsid w:val="6D592919"/>
    <w:rsid w:val="6DA73CB9"/>
    <w:rsid w:val="6DCC2C8F"/>
    <w:rsid w:val="6DE16E4B"/>
    <w:rsid w:val="6E056315"/>
    <w:rsid w:val="6E057613"/>
    <w:rsid w:val="6E096A33"/>
    <w:rsid w:val="6E0E35B0"/>
    <w:rsid w:val="6E155B2F"/>
    <w:rsid w:val="6E2E0827"/>
    <w:rsid w:val="6E393EB5"/>
    <w:rsid w:val="6E821D97"/>
    <w:rsid w:val="6E86002D"/>
    <w:rsid w:val="6E9D3B0A"/>
    <w:rsid w:val="6EA71A3C"/>
    <w:rsid w:val="6EB262D0"/>
    <w:rsid w:val="6EC0729B"/>
    <w:rsid w:val="6EE57DC0"/>
    <w:rsid w:val="6F4B36F5"/>
    <w:rsid w:val="6F59280E"/>
    <w:rsid w:val="6F7519FE"/>
    <w:rsid w:val="6F775139"/>
    <w:rsid w:val="6F9878C4"/>
    <w:rsid w:val="6F9A1BE7"/>
    <w:rsid w:val="6FAB659D"/>
    <w:rsid w:val="6FCE44C6"/>
    <w:rsid w:val="6FDA0870"/>
    <w:rsid w:val="70036872"/>
    <w:rsid w:val="70280FE6"/>
    <w:rsid w:val="702F4652"/>
    <w:rsid w:val="704028BE"/>
    <w:rsid w:val="709C5E97"/>
    <w:rsid w:val="70B04877"/>
    <w:rsid w:val="70C55FF3"/>
    <w:rsid w:val="70E75362"/>
    <w:rsid w:val="70F8109F"/>
    <w:rsid w:val="70FE126A"/>
    <w:rsid w:val="712E5413"/>
    <w:rsid w:val="714514E7"/>
    <w:rsid w:val="71633CE3"/>
    <w:rsid w:val="71664076"/>
    <w:rsid w:val="716A44E1"/>
    <w:rsid w:val="717B0B64"/>
    <w:rsid w:val="71931E0F"/>
    <w:rsid w:val="71B1246E"/>
    <w:rsid w:val="71CF7CCF"/>
    <w:rsid w:val="71F56B9C"/>
    <w:rsid w:val="720953A5"/>
    <w:rsid w:val="7216534B"/>
    <w:rsid w:val="721C0633"/>
    <w:rsid w:val="72373614"/>
    <w:rsid w:val="7249291B"/>
    <w:rsid w:val="7254017C"/>
    <w:rsid w:val="725F7EDC"/>
    <w:rsid w:val="72714BF8"/>
    <w:rsid w:val="727E2C38"/>
    <w:rsid w:val="72833803"/>
    <w:rsid w:val="729D1919"/>
    <w:rsid w:val="72A1473E"/>
    <w:rsid w:val="72D56EC6"/>
    <w:rsid w:val="72EB1781"/>
    <w:rsid w:val="73313491"/>
    <w:rsid w:val="73392C6A"/>
    <w:rsid w:val="733B0116"/>
    <w:rsid w:val="733D0B0E"/>
    <w:rsid w:val="73421935"/>
    <w:rsid w:val="734B4CCF"/>
    <w:rsid w:val="7359421D"/>
    <w:rsid w:val="736C7944"/>
    <w:rsid w:val="73982124"/>
    <w:rsid w:val="73C10E82"/>
    <w:rsid w:val="73E029EA"/>
    <w:rsid w:val="73E45ACA"/>
    <w:rsid w:val="73F27E02"/>
    <w:rsid w:val="73F66027"/>
    <w:rsid w:val="73FA033C"/>
    <w:rsid w:val="73FA5507"/>
    <w:rsid w:val="7402720C"/>
    <w:rsid w:val="741D57DC"/>
    <w:rsid w:val="74214F78"/>
    <w:rsid w:val="7431605E"/>
    <w:rsid w:val="746809AF"/>
    <w:rsid w:val="746F6578"/>
    <w:rsid w:val="7486640C"/>
    <w:rsid w:val="74AC6DB6"/>
    <w:rsid w:val="74E723B5"/>
    <w:rsid w:val="74F9211B"/>
    <w:rsid w:val="75087C60"/>
    <w:rsid w:val="752411CA"/>
    <w:rsid w:val="752E6541"/>
    <w:rsid w:val="753D74A6"/>
    <w:rsid w:val="75484AB1"/>
    <w:rsid w:val="75967B08"/>
    <w:rsid w:val="761256B4"/>
    <w:rsid w:val="76126892"/>
    <w:rsid w:val="76397D67"/>
    <w:rsid w:val="763B0C32"/>
    <w:rsid w:val="76746FF6"/>
    <w:rsid w:val="7692260A"/>
    <w:rsid w:val="76923F9A"/>
    <w:rsid w:val="7693258B"/>
    <w:rsid w:val="76983091"/>
    <w:rsid w:val="76A37127"/>
    <w:rsid w:val="76A5039A"/>
    <w:rsid w:val="76C7336B"/>
    <w:rsid w:val="76D139A2"/>
    <w:rsid w:val="76D43565"/>
    <w:rsid w:val="76DD651D"/>
    <w:rsid w:val="76EB42BE"/>
    <w:rsid w:val="77013596"/>
    <w:rsid w:val="7709130B"/>
    <w:rsid w:val="772A0154"/>
    <w:rsid w:val="772B1631"/>
    <w:rsid w:val="775F323E"/>
    <w:rsid w:val="77984F68"/>
    <w:rsid w:val="77B06E5C"/>
    <w:rsid w:val="77C71B7D"/>
    <w:rsid w:val="77D76C08"/>
    <w:rsid w:val="77FA6382"/>
    <w:rsid w:val="7802152C"/>
    <w:rsid w:val="781868DC"/>
    <w:rsid w:val="7858250C"/>
    <w:rsid w:val="785D2A74"/>
    <w:rsid w:val="786D34B4"/>
    <w:rsid w:val="78B63C61"/>
    <w:rsid w:val="78E124BE"/>
    <w:rsid w:val="79000ABB"/>
    <w:rsid w:val="793E6EBC"/>
    <w:rsid w:val="7961692D"/>
    <w:rsid w:val="79D93EA7"/>
    <w:rsid w:val="79E4463F"/>
    <w:rsid w:val="79EF4948"/>
    <w:rsid w:val="79F0492C"/>
    <w:rsid w:val="7A127AB8"/>
    <w:rsid w:val="7A15068D"/>
    <w:rsid w:val="7A1848C5"/>
    <w:rsid w:val="7A522119"/>
    <w:rsid w:val="7A6B02B3"/>
    <w:rsid w:val="7A7E4833"/>
    <w:rsid w:val="7AB04EA1"/>
    <w:rsid w:val="7AD37643"/>
    <w:rsid w:val="7AD730E6"/>
    <w:rsid w:val="7B067D59"/>
    <w:rsid w:val="7B1D2C49"/>
    <w:rsid w:val="7B1F7B2F"/>
    <w:rsid w:val="7B235138"/>
    <w:rsid w:val="7B48708D"/>
    <w:rsid w:val="7B52560A"/>
    <w:rsid w:val="7B5F5A59"/>
    <w:rsid w:val="7B72575E"/>
    <w:rsid w:val="7BA442D2"/>
    <w:rsid w:val="7BB34524"/>
    <w:rsid w:val="7BD87D25"/>
    <w:rsid w:val="7BE0351E"/>
    <w:rsid w:val="7BFB43F1"/>
    <w:rsid w:val="7C0C15FD"/>
    <w:rsid w:val="7C0F13E0"/>
    <w:rsid w:val="7C156057"/>
    <w:rsid w:val="7C41139F"/>
    <w:rsid w:val="7C765E7D"/>
    <w:rsid w:val="7C923759"/>
    <w:rsid w:val="7C9875A7"/>
    <w:rsid w:val="7C9D060F"/>
    <w:rsid w:val="7C9F481B"/>
    <w:rsid w:val="7CD515AC"/>
    <w:rsid w:val="7CD74D38"/>
    <w:rsid w:val="7CDD2735"/>
    <w:rsid w:val="7D4C58E5"/>
    <w:rsid w:val="7D597DAC"/>
    <w:rsid w:val="7D671E96"/>
    <w:rsid w:val="7D6C4F30"/>
    <w:rsid w:val="7D8055E0"/>
    <w:rsid w:val="7D9E5F35"/>
    <w:rsid w:val="7E0815B3"/>
    <w:rsid w:val="7E2F3582"/>
    <w:rsid w:val="7E455145"/>
    <w:rsid w:val="7E612948"/>
    <w:rsid w:val="7E837D5D"/>
    <w:rsid w:val="7EA4430D"/>
    <w:rsid w:val="7EAA5EC5"/>
    <w:rsid w:val="7EAE1982"/>
    <w:rsid w:val="7EB17646"/>
    <w:rsid w:val="7EC36640"/>
    <w:rsid w:val="7EC773E4"/>
    <w:rsid w:val="7F5E5E56"/>
    <w:rsid w:val="7F934248"/>
    <w:rsid w:val="7F99162E"/>
    <w:rsid w:val="7FAF4C52"/>
    <w:rsid w:val="7FC24452"/>
    <w:rsid w:val="7FC97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9"/>
    <w:qFormat/>
    <w:uiPriority w:val="0"/>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2"/>
    <w:unhideWhenUsed/>
    <w:qFormat/>
    <w:uiPriority w:val="0"/>
    <w:pPr>
      <w:suppressAutoHyphens/>
      <w:topLinePunct/>
      <w:adjustRightInd w:val="0"/>
      <w:snapToGrid w:val="0"/>
      <w:spacing w:before="156" w:beforeLines="50" w:line="420" w:lineRule="exact"/>
      <w:ind w:firstLine="480" w:firstLineChars="200"/>
      <w:textAlignment w:val="top"/>
    </w:pPr>
    <w:rPr>
      <w:rFonts w:ascii="宋体" w:hAnsi="宋体" w:eastAsia="宋体" w:cs="Times New Roman"/>
      <w:color w:val="000000"/>
      <w:sz w:val="24"/>
      <w:szCs w:val="2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Times New Roman"/>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b/>
      <w:bCs/>
      <w:szCs w:val="20"/>
    </w:rPr>
  </w:style>
  <w:style w:type="paragraph" w:styleId="11">
    <w:name w:val="List Paragraph"/>
    <w:basedOn w:val="1"/>
    <w:qFormat/>
    <w:uiPriority w:val="34"/>
    <w:pPr>
      <w:ind w:firstLine="420" w:firstLineChars="200"/>
    </w:pPr>
  </w:style>
  <w:style w:type="character" w:customStyle="1" w:styleId="12">
    <w:name w:val="正文文本缩进 字符"/>
    <w:basedOn w:val="9"/>
    <w:link w:val="3"/>
    <w:qFormat/>
    <w:uiPriority w:val="0"/>
    <w:rPr>
      <w:rFonts w:ascii="宋体" w:hAnsi="宋体" w:eastAsia="宋体" w:cs="Times New Roman"/>
      <w:color w:val="000000"/>
      <w:sz w:val="24"/>
      <w:szCs w:val="28"/>
    </w:rPr>
  </w:style>
  <w:style w:type="character" w:customStyle="1" w:styleId="13">
    <w:name w:val="页眉 字符"/>
    <w:basedOn w:val="9"/>
    <w:link w:val="5"/>
    <w:qFormat/>
    <w:uiPriority w:val="99"/>
    <w:rPr>
      <w:sz w:val="18"/>
      <w:szCs w:val="18"/>
    </w:rPr>
  </w:style>
  <w:style w:type="character" w:customStyle="1" w:styleId="14">
    <w:name w:val="页脚 字符"/>
    <w:basedOn w:val="9"/>
    <w:link w:val="4"/>
    <w:qFormat/>
    <w:uiPriority w:val="99"/>
    <w:rPr>
      <w:sz w:val="18"/>
      <w:szCs w:val="18"/>
    </w:rPr>
  </w:style>
  <w:style w:type="paragraph" w:customStyle="1" w:styleId="15">
    <w:name w:val="Char Char Char Char"/>
    <w:basedOn w:val="1"/>
    <w:qFormat/>
    <w:uiPriority w:val="0"/>
    <w:pPr>
      <w:spacing w:before="100" w:beforeAutospacing="1" w:after="100" w:afterAutospacing="1"/>
    </w:pPr>
  </w:style>
  <w:style w:type="character" w:customStyle="1" w:styleId="16">
    <w:name w:val="标题 3 字符"/>
    <w:link w:val="2"/>
    <w:qFormat/>
    <w:uiPriority w:val="0"/>
    <w:rPr>
      <w:b/>
      <w:bCs/>
      <w:sz w:val="32"/>
      <w:szCs w:val="32"/>
    </w:rPr>
  </w:style>
  <w:style w:type="paragraph" w:customStyle="1" w:styleId="17">
    <w:name w:val="Char Char Char Char1"/>
    <w:basedOn w:val="1"/>
    <w:qFormat/>
    <w:uiPriority w:val="99"/>
    <w:pPr>
      <w:spacing w:before="100" w:beforeAutospacing="1" w:after="100" w:afterAutospacing="1"/>
    </w:pPr>
    <w:rPr>
      <w:szCs w:val="21"/>
    </w:rPr>
  </w:style>
  <w:style w:type="paragraph" w:customStyle="1" w:styleId="18">
    <w:name w:val=" Char Char Char Char"/>
    <w:basedOn w:val="1"/>
    <w:qFormat/>
    <w:uiPriority w:val="0"/>
    <w:pPr>
      <w:spacing w:before="100" w:beforeAutospacing="1" w:after="100" w:afterAutospacing="1"/>
    </w:pPr>
  </w:style>
  <w:style w:type="character" w:customStyle="1" w:styleId="19">
    <w:name w:val=" Char Char1"/>
    <w:link w:val="2"/>
    <w:qFormat/>
    <w:uiPriority w:val="0"/>
    <w:rPr>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diagramColors" Target="diagrams/colors1.xml"/><Relationship Id="rId6" Type="http://schemas.openxmlformats.org/officeDocument/2006/relationships/diagramQuickStyle" Target="diagrams/quickStyle1.xml"/><Relationship Id="rId5" Type="http://schemas.openxmlformats.org/officeDocument/2006/relationships/diagramLayout" Target="diagrams/layout1.xml"/><Relationship Id="rId4" Type="http://schemas.openxmlformats.org/officeDocument/2006/relationships/diagramData" Target="diagrams/data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C5ACD9B2-E79C-4567-B905-2C216BAA6CB5}" type="doc">
      <dgm:prSet loTypeId="hierarchy" loCatId="hierarchy" qsTypeId="urn:microsoft.com/office/officeart/2005/8/quickstyle/simple1" qsCatId="simple" csTypeId="urn:microsoft.com/office/officeart/2005/8/colors/colorful1" csCatId="colorful" phldr="1"/>
      <dgm:spPr/>
      <dgm:t>
        <a:bodyPr/>
        <a:p>
          <a:endParaRPr lang="zh-CN" altLang="en-US"/>
        </a:p>
      </dgm:t>
    </dgm:pt>
    <dgm:pt modelId="{79DFAC7A-471F-4F34-A21B-A0312A176FC9}">
      <dgm:prSet phldrT="[文本]" custT="1"/>
      <dgm:spPr/>
      <dgm:t>
        <a:bodyPr/>
        <a:p>
          <a:r>
            <a:rPr lang="zh-CN" altLang="en-US" sz="1800" b="0"/>
            <a:t>磁性课程</a:t>
          </a:r>
        </a:p>
      </dgm:t>
    </dgm:pt>
    <dgm:pt modelId="{5421352D-A172-4CD3-9D57-5B1615035041}" cxnId="{46E9234A-0381-4F14-A35E-9B62942FDC65}" type="parTrans">
      <dgm:prSet/>
      <dgm:spPr/>
      <dgm:t>
        <a:bodyPr/>
        <a:p>
          <a:endParaRPr lang="zh-CN" altLang="en-US" b="0"/>
        </a:p>
      </dgm:t>
    </dgm:pt>
    <dgm:pt modelId="{816487D5-0A4B-4F4E-8DED-93A571ADCCDD}" cxnId="{46E9234A-0381-4F14-A35E-9B62942FDC65}" type="sibTrans">
      <dgm:prSet/>
      <dgm:spPr/>
      <dgm:t>
        <a:bodyPr/>
        <a:p>
          <a:endParaRPr lang="zh-CN" altLang="en-US" b="0"/>
        </a:p>
      </dgm:t>
    </dgm:pt>
    <dgm:pt modelId="{584CF0E1-429E-4392-A2DD-FEA46115801E}">
      <dgm:prSet phldrT="[文本]" custT="1"/>
      <dgm:spPr/>
      <dgm:t>
        <a:bodyPr/>
        <a:p>
          <a:r>
            <a:rPr lang="zh-CN" altLang="en-US" sz="1400" b="0"/>
            <a:t>学科特色课程</a:t>
          </a:r>
        </a:p>
      </dgm:t>
    </dgm:pt>
    <dgm:pt modelId="{D44D1B9A-C79A-4BC9-8268-D59B44026A95}" cxnId="{5FEBE604-7529-43D3-84F3-5B77DA763BB7}" type="parTrans">
      <dgm:prSet/>
      <dgm:spPr/>
      <dgm:t>
        <a:bodyPr/>
        <a:p>
          <a:endParaRPr lang="zh-CN" altLang="en-US" b="0"/>
        </a:p>
      </dgm:t>
    </dgm:pt>
    <dgm:pt modelId="{BE47B1F1-3506-47DE-8589-880E8833AA76}" cxnId="{5FEBE604-7529-43D3-84F3-5B77DA763BB7}" type="sibTrans">
      <dgm:prSet/>
      <dgm:spPr/>
      <dgm:t>
        <a:bodyPr/>
        <a:p>
          <a:endParaRPr lang="zh-CN" altLang="en-US" b="0"/>
        </a:p>
      </dgm:t>
    </dgm:pt>
    <dgm:pt modelId="{226E1576-E8AB-46D2-851C-F1560EBACD8F}">
      <dgm:prSet custT="1"/>
      <dgm:spPr>
        <a:solidFill>
          <a:schemeClr val="accent6">
            <a:lumMod val="75000"/>
          </a:schemeClr>
        </a:solidFill>
      </dgm:spPr>
      <dgm:t>
        <a:bodyPr/>
        <a:p>
          <a:r>
            <a:rPr lang="zh-CN" altLang="en-US" sz="1400" b="0"/>
            <a:t>学科基础课程</a:t>
          </a:r>
        </a:p>
      </dgm:t>
    </dgm:pt>
    <dgm:pt modelId="{71FAAE52-B301-4EBE-A749-4BEDDB8827EB}" cxnId="{74E8811E-FEA7-4D54-A0A8-2E6AF494EA7C}" type="parTrans">
      <dgm:prSet/>
      <dgm:spPr/>
      <dgm:t>
        <a:bodyPr/>
        <a:p>
          <a:endParaRPr lang="zh-CN" altLang="en-US" b="0"/>
        </a:p>
      </dgm:t>
    </dgm:pt>
    <dgm:pt modelId="{9368C5B6-9ADC-4B6E-BDD6-EC4B9C545196}" cxnId="{74E8811E-FEA7-4D54-A0A8-2E6AF494EA7C}" type="sibTrans">
      <dgm:prSet/>
      <dgm:spPr/>
      <dgm:t>
        <a:bodyPr/>
        <a:p>
          <a:endParaRPr lang="zh-CN" altLang="en-US" b="0"/>
        </a:p>
      </dgm:t>
    </dgm:pt>
    <dgm:pt modelId="{2A962005-E0BD-48AF-98F7-C60D47CBB7B9}">
      <dgm:prSet phldr="0" custT="1"/>
      <dgm:spPr>
        <a:solidFill>
          <a:schemeClr val="accent6">
            <a:lumMod val="75000"/>
          </a:schemeClr>
        </a:solidFill>
      </dgm:spPr>
      <dgm:t>
        <a:bodyPr vert="horz" wrap="square"/>
        <a:p>
          <a:pPr>
            <a:lnSpc>
              <a:spcPct val="100000"/>
            </a:lnSpc>
            <a:spcBef>
              <a:spcPct val="0"/>
            </a:spcBef>
            <a:spcAft>
              <a:spcPct val="35000"/>
            </a:spcAft>
          </a:pPr>
          <a:r>
            <a:rPr lang="zh-CN" altLang="en-US" sz="1400" b="0"/>
            <a:t>学科拓展课程</a:t>
          </a:r>
          <a:r>
            <a:rPr sz="6500"/>
            <a:t/>
          </a:r>
          <a:endParaRPr sz="6500"/>
        </a:p>
      </dgm:t>
    </dgm:pt>
    <dgm:pt modelId="{934B9086-6C54-45ED-8578-38BEAD254EE6}" cxnId="{2E1749F0-4D4F-449E-AED2-0ADA6F4D9581}" type="parTrans">
      <dgm:prSet/>
      <dgm:spPr/>
      <dgm:t>
        <a:bodyPr/>
        <a:p>
          <a:endParaRPr lang="zh-CN" altLang="en-US" b="0"/>
        </a:p>
      </dgm:t>
    </dgm:pt>
    <dgm:pt modelId="{4DB4740B-FCBD-4B4D-839B-6E554C833E1F}" cxnId="{2E1749F0-4D4F-449E-AED2-0ADA6F4D9581}" type="sibTrans">
      <dgm:prSet/>
      <dgm:spPr/>
      <dgm:t>
        <a:bodyPr/>
        <a:p>
          <a:endParaRPr lang="zh-CN" altLang="en-US" b="0"/>
        </a:p>
      </dgm:t>
    </dgm:pt>
    <dgm:pt modelId="{0A9874B0-BCB7-462A-A437-2C34D738481B}">
      <dgm:prSet phldrT="[文本]" custT="1"/>
      <dgm:spPr/>
      <dgm:t>
        <a:bodyPr/>
        <a:p>
          <a:r>
            <a:rPr lang="zh-CN" altLang="en-US" sz="1400" b="0"/>
            <a:t>实践体验课程</a:t>
          </a:r>
        </a:p>
      </dgm:t>
    </dgm:pt>
    <dgm:pt modelId="{39488A88-91FF-405E-A796-206E8699394B}" cxnId="{62613FF7-A035-434E-AFEE-27F6CD458A4C}" type="parTrans">
      <dgm:prSet/>
      <dgm:spPr/>
      <dgm:t>
        <a:bodyPr/>
        <a:p>
          <a:endParaRPr lang="zh-CN" altLang="en-US" b="0"/>
        </a:p>
      </dgm:t>
    </dgm:pt>
    <dgm:pt modelId="{5609C75F-003D-4836-833A-346EE5028F83}" cxnId="{62613FF7-A035-434E-AFEE-27F6CD458A4C}" type="sibTrans">
      <dgm:prSet/>
      <dgm:spPr/>
      <dgm:t>
        <a:bodyPr/>
        <a:p>
          <a:endParaRPr lang="zh-CN" altLang="en-US" b="0"/>
        </a:p>
      </dgm:t>
    </dgm:pt>
    <dgm:pt modelId="{C9CB2CB3-E3E8-4820-8938-7FEC2A44D6DB}">
      <dgm:prSet phldr="0" custT="1"/>
      <dgm:spPr>
        <a:solidFill>
          <a:schemeClr val="accent6">
            <a:lumMod val="75000"/>
          </a:schemeClr>
        </a:solidFill>
      </dgm:spPr>
      <dgm:t>
        <a:bodyPr vert="horz" wrap="square"/>
        <a:p>
          <a:pPr>
            <a:lnSpc>
              <a:spcPct val="100000"/>
            </a:lnSpc>
            <a:spcBef>
              <a:spcPct val="0"/>
            </a:spcBef>
            <a:spcAft>
              <a:spcPct val="35000"/>
            </a:spcAft>
          </a:pPr>
          <a:r>
            <a:rPr lang="zh-CN" altLang="en-US" sz="1400" b="0"/>
            <a:t>节庆教育课程</a:t>
          </a:r>
          <a:r>
            <a:rPr sz="6500"/>
            <a:t/>
          </a:r>
          <a:endParaRPr sz="6500"/>
        </a:p>
      </dgm:t>
    </dgm:pt>
    <dgm:pt modelId="{85A87D89-0DD7-48E0-B14F-3B6A47F2C613}" cxnId="{38E2F2B5-9083-48DD-836A-AE3DFE2DF57C}" type="parTrans">
      <dgm:prSet/>
      <dgm:spPr/>
      <dgm:t>
        <a:bodyPr/>
        <a:p>
          <a:endParaRPr lang="zh-CN" altLang="en-US" b="0"/>
        </a:p>
      </dgm:t>
    </dgm:pt>
    <dgm:pt modelId="{631CDF16-381A-4ABA-B6FA-95804607F6DE}" cxnId="{38E2F2B5-9083-48DD-836A-AE3DFE2DF57C}" type="sibTrans">
      <dgm:prSet/>
      <dgm:spPr/>
      <dgm:t>
        <a:bodyPr/>
        <a:p>
          <a:endParaRPr lang="zh-CN" altLang="en-US" b="0"/>
        </a:p>
      </dgm:t>
    </dgm:pt>
    <dgm:pt modelId="{E4EF4EF1-27B6-4656-9200-E9C73A8C5EDE}">
      <dgm:prSet phldr="0" custT="1"/>
      <dgm:spPr>
        <a:solidFill>
          <a:schemeClr val="accent6">
            <a:lumMod val="75000"/>
          </a:schemeClr>
        </a:solidFill>
      </dgm:spPr>
      <dgm:t>
        <a:bodyPr vert="horz" wrap="square"/>
        <a:p>
          <a:pPr>
            <a:lnSpc>
              <a:spcPct val="100000"/>
            </a:lnSpc>
            <a:spcBef>
              <a:spcPct val="0"/>
            </a:spcBef>
            <a:spcAft>
              <a:spcPct val="35000"/>
            </a:spcAft>
          </a:pPr>
          <a:r>
            <a:rPr lang="zh-CN" altLang="en-US" sz="1400" b="0"/>
            <a:t>仪式教育课程</a:t>
          </a:r>
          <a:r>
            <a:rPr sz="6500"/>
            <a:t/>
          </a:r>
          <a:endParaRPr sz="6500"/>
        </a:p>
      </dgm:t>
    </dgm:pt>
    <dgm:pt modelId="{32490F92-D73D-4123-A02C-8B01058D7F0E}" cxnId="{F8F3078D-C6F0-4FB0-BF4E-89496E170697}" type="parTrans">
      <dgm:prSet/>
      <dgm:spPr/>
      <dgm:t>
        <a:bodyPr/>
        <a:p>
          <a:endParaRPr lang="zh-CN" altLang="en-US" b="0"/>
        </a:p>
      </dgm:t>
    </dgm:pt>
    <dgm:pt modelId="{B0516D6C-EFCC-4C68-B7BD-683DB574E0BF}" cxnId="{F8F3078D-C6F0-4FB0-BF4E-89496E170697}" type="sibTrans">
      <dgm:prSet/>
      <dgm:spPr/>
      <dgm:t>
        <a:bodyPr/>
        <a:p>
          <a:endParaRPr lang="zh-CN" altLang="en-US" b="0"/>
        </a:p>
      </dgm:t>
    </dgm:pt>
    <dgm:pt modelId="{2B0643E3-D81E-433C-BA58-14D464B30F86}">
      <dgm:prSet phldr="0" custT="1"/>
      <dgm:spPr>
        <a:solidFill>
          <a:schemeClr val="accent6">
            <a:lumMod val="75000"/>
          </a:schemeClr>
        </a:solidFill>
      </dgm:spPr>
      <dgm:t>
        <a:bodyPr vert="horz" wrap="square"/>
        <a:p>
          <a:pPr>
            <a:lnSpc>
              <a:spcPct val="100000"/>
            </a:lnSpc>
            <a:spcBef>
              <a:spcPct val="0"/>
            </a:spcBef>
            <a:spcAft>
              <a:spcPct val="35000"/>
            </a:spcAft>
          </a:pPr>
          <a:r>
            <a:rPr lang="zh-CN" altLang="en-US" sz="1400" b="0"/>
            <a:t>主题教育课程</a:t>
          </a:r>
          <a:r>
            <a:rPr lang="zh-CN" sz="6500"/>
            <a:t/>
          </a:r>
          <a:endParaRPr lang="zh-CN" sz="6500"/>
        </a:p>
      </dgm:t>
    </dgm:pt>
    <dgm:pt modelId="{A0ABDF1C-0190-4CFF-BFC0-E26BF7C12E63}" cxnId="{2255902D-24B9-48D7-A946-73972157EBCE}" type="parTrans">
      <dgm:prSet/>
      <dgm:spPr/>
      <dgm:t>
        <a:bodyPr/>
        <a:p>
          <a:endParaRPr lang="zh-CN" altLang="en-US" b="0"/>
        </a:p>
      </dgm:t>
    </dgm:pt>
    <dgm:pt modelId="{FDE0C624-3D52-422A-A4F7-F1DE9BECC803}" cxnId="{2255902D-24B9-48D7-A946-73972157EBCE}" type="sibTrans">
      <dgm:prSet/>
      <dgm:spPr/>
      <dgm:t>
        <a:bodyPr/>
        <a:p>
          <a:endParaRPr lang="zh-CN" altLang="en-US" b="0"/>
        </a:p>
      </dgm:t>
    </dgm:pt>
    <dgm:pt modelId="{2A8E8472-17AB-41E5-AE60-C60BCF854A33}">
      <dgm:prSet phldr="0" custT="1"/>
      <dgm:spPr>
        <a:solidFill>
          <a:schemeClr val="accent6">
            <a:lumMod val="75000"/>
          </a:schemeClr>
        </a:solidFill>
      </dgm:spPr>
      <dgm:t>
        <a:bodyPr vert="horz" wrap="square"/>
        <a:p>
          <a:pPr>
            <a:lnSpc>
              <a:spcPct val="100000"/>
            </a:lnSpc>
            <a:spcBef>
              <a:spcPct val="0"/>
            </a:spcBef>
            <a:spcAft>
              <a:spcPct val="35000"/>
            </a:spcAft>
          </a:pPr>
          <a:r>
            <a:rPr lang="zh-CN" sz="1400"/>
            <a:t>社会实践课程</a:t>
          </a:r>
          <a:r>
            <a:rPr lang="zh-CN" sz="1400"/>
            <a:t/>
          </a:r>
          <a:endParaRPr lang="zh-CN" sz="1400"/>
        </a:p>
      </dgm:t>
    </dgm:pt>
    <dgm:pt modelId="{67A2FA3C-A6F0-4A96-8164-12E34D41CA5F}" cxnId="{13F65CE8-3068-4CF1-BF1F-D03AF03F62C0}" type="parTrans">
      <dgm:prSet/>
      <dgm:spPr/>
      <dgm:t>
        <a:bodyPr/>
        <a:p>
          <a:endParaRPr lang="zh-CN" altLang="en-US" b="0"/>
        </a:p>
      </dgm:t>
    </dgm:pt>
    <dgm:pt modelId="{42F91FC2-6ECF-42E8-8396-C0EB4486D840}" cxnId="{13F65CE8-3068-4CF1-BF1F-D03AF03F62C0}" type="sibTrans">
      <dgm:prSet/>
      <dgm:spPr/>
      <dgm:t>
        <a:bodyPr/>
        <a:p>
          <a:endParaRPr lang="zh-CN" altLang="en-US" b="0"/>
        </a:p>
      </dgm:t>
    </dgm:pt>
    <dgm:pt modelId="{5C13E2E2-B64F-4A4B-9E70-215690116FFC}">
      <dgm:prSet phldrT="[文本]" custT="1"/>
      <dgm:spPr/>
      <dgm:t>
        <a:bodyPr/>
        <a:p>
          <a:r>
            <a:rPr lang="zh-CN" altLang="en-US" sz="1400" b="0"/>
            <a:t>专题聚焦课程</a:t>
          </a:r>
        </a:p>
      </dgm:t>
    </dgm:pt>
    <dgm:pt modelId="{B3EF0C55-09EE-4553-9A78-C063CF4003D2}" cxnId="{F7E0C9FB-00C6-441F-BF07-0605B83EE582}" type="parTrans">
      <dgm:prSet/>
      <dgm:spPr/>
      <dgm:t>
        <a:bodyPr/>
        <a:p>
          <a:endParaRPr lang="zh-CN" altLang="en-US" b="0"/>
        </a:p>
      </dgm:t>
    </dgm:pt>
    <dgm:pt modelId="{30216CC9-6D6D-4950-96ED-BAD08646985D}" cxnId="{F7E0C9FB-00C6-441F-BF07-0605B83EE582}" type="sibTrans">
      <dgm:prSet/>
      <dgm:spPr/>
      <dgm:t>
        <a:bodyPr/>
        <a:p>
          <a:endParaRPr lang="zh-CN" altLang="en-US" b="0"/>
        </a:p>
      </dgm:t>
    </dgm:pt>
    <dgm:pt modelId="{23C79603-CBBF-4ECF-B3F3-CA855FEB8AAE}">
      <dgm:prSet custT="1"/>
      <dgm:spPr>
        <a:solidFill>
          <a:schemeClr val="accent6">
            <a:lumMod val="75000"/>
          </a:schemeClr>
        </a:solidFill>
      </dgm:spPr>
      <dgm:t>
        <a:bodyPr/>
        <a:p>
          <a:r>
            <a:rPr lang="zh-CN" altLang="en-US" sz="1400" b="0"/>
            <a:t>道德品质奠基课程</a:t>
          </a:r>
        </a:p>
      </dgm:t>
    </dgm:pt>
    <dgm:pt modelId="{D244088B-E812-4429-A06B-BA69E3D7D7DB}" cxnId="{DCB6A4C9-8235-4BF5-AD9E-15515DCA8972}" type="parTrans">
      <dgm:prSet/>
      <dgm:spPr/>
      <dgm:t>
        <a:bodyPr/>
        <a:p>
          <a:endParaRPr lang="zh-CN" altLang="en-US" b="0"/>
        </a:p>
      </dgm:t>
    </dgm:pt>
    <dgm:pt modelId="{71C65594-16A9-4B3B-8772-4F6BFA93A874}" cxnId="{DCB6A4C9-8235-4BF5-AD9E-15515DCA8972}" type="sibTrans">
      <dgm:prSet/>
      <dgm:spPr/>
      <dgm:t>
        <a:bodyPr/>
        <a:p>
          <a:endParaRPr lang="zh-CN" altLang="en-US" b="0"/>
        </a:p>
      </dgm:t>
    </dgm:pt>
    <dgm:pt modelId="{C526B16B-0C53-49D0-852F-8926272693BE}">
      <dgm:prSet custT="1"/>
      <dgm:spPr>
        <a:solidFill>
          <a:schemeClr val="accent6">
            <a:lumMod val="75000"/>
          </a:schemeClr>
        </a:solidFill>
      </dgm:spPr>
      <dgm:t>
        <a:bodyPr/>
        <a:p>
          <a:r>
            <a:rPr lang="zh-CN" altLang="en-US" sz="1400" b="0"/>
            <a:t>学习品质奠基课程</a:t>
          </a:r>
        </a:p>
      </dgm:t>
    </dgm:pt>
    <dgm:pt modelId="{835B12FE-6D8D-4F44-8393-BA2C37D5EAC9}" cxnId="{00E146C4-1C05-4B56-8DC1-11496E6D11BB}" type="parTrans">
      <dgm:prSet/>
      <dgm:spPr/>
      <dgm:t>
        <a:bodyPr/>
        <a:p>
          <a:endParaRPr lang="zh-CN" altLang="en-US" b="0"/>
        </a:p>
      </dgm:t>
    </dgm:pt>
    <dgm:pt modelId="{765C0235-993F-4FEE-B597-2F68EC3977A9}" cxnId="{00E146C4-1C05-4B56-8DC1-11496E6D11BB}" type="sibTrans">
      <dgm:prSet/>
      <dgm:spPr/>
      <dgm:t>
        <a:bodyPr/>
        <a:p>
          <a:endParaRPr lang="zh-CN" altLang="en-US" b="0"/>
        </a:p>
      </dgm:t>
    </dgm:pt>
    <dgm:pt modelId="{AE8C1470-58EC-4623-B6E5-62A0A4107667}">
      <dgm:prSet custT="1"/>
      <dgm:spPr>
        <a:solidFill>
          <a:schemeClr val="accent6">
            <a:lumMod val="75000"/>
          </a:schemeClr>
        </a:solidFill>
      </dgm:spPr>
      <dgm:t>
        <a:bodyPr/>
        <a:p>
          <a:r>
            <a:rPr lang="zh-CN" altLang="en-US" sz="1400" b="0"/>
            <a:t>生活品质奠基课程</a:t>
          </a:r>
        </a:p>
      </dgm:t>
    </dgm:pt>
    <dgm:pt modelId="{21032C37-A787-4246-99C1-D50A3B573A67}" cxnId="{A6CD6E88-6EC9-42FF-B855-24DAD53F7C6D}" type="parTrans">
      <dgm:prSet/>
      <dgm:spPr/>
      <dgm:t>
        <a:bodyPr/>
        <a:p>
          <a:endParaRPr lang="zh-CN" altLang="en-US" b="0"/>
        </a:p>
      </dgm:t>
    </dgm:pt>
    <dgm:pt modelId="{B5375911-BD25-4C09-97AC-64A077F28719}" cxnId="{A6CD6E88-6EC9-42FF-B855-24DAD53F7C6D}" type="sibTrans">
      <dgm:prSet/>
      <dgm:spPr/>
      <dgm:t>
        <a:bodyPr/>
        <a:p>
          <a:endParaRPr lang="zh-CN" altLang="en-US" b="0"/>
        </a:p>
      </dgm:t>
    </dgm:pt>
    <dgm:pt modelId="{4B06801D-583C-4628-8B03-2C13DE2C7FA2}">
      <dgm:prSet custT="1"/>
      <dgm:spPr>
        <a:solidFill>
          <a:schemeClr val="accent6">
            <a:lumMod val="75000"/>
          </a:schemeClr>
        </a:solidFill>
      </dgm:spPr>
      <dgm:t>
        <a:bodyPr/>
        <a:p>
          <a:r>
            <a:rPr lang="zh-CN" altLang="en-US" sz="1400" b="0"/>
            <a:t>个性特长奠基课程</a:t>
          </a:r>
        </a:p>
      </dgm:t>
    </dgm:pt>
    <dgm:pt modelId="{7088AF41-B12D-48EE-9986-994BE2152F62}" cxnId="{B0D710F1-51F0-4332-9F83-84A65B7C0748}" type="parTrans">
      <dgm:prSet/>
      <dgm:spPr/>
      <dgm:t>
        <a:bodyPr/>
        <a:p>
          <a:endParaRPr lang="zh-CN" altLang="en-US" b="0"/>
        </a:p>
      </dgm:t>
    </dgm:pt>
    <dgm:pt modelId="{F50FF612-4341-4E7D-AB8F-5951E05D4787}" cxnId="{B0D710F1-51F0-4332-9F83-84A65B7C0748}" type="sibTrans">
      <dgm:prSet/>
      <dgm:spPr/>
      <dgm:t>
        <a:bodyPr/>
        <a:p>
          <a:endParaRPr lang="zh-CN" altLang="en-US" b="0"/>
        </a:p>
      </dgm:t>
    </dgm:pt>
    <dgm:pt modelId="{6BFCD743-CC98-4957-9F64-B49BCE7A427C}" type="pres">
      <dgm:prSet presAssocID="{C5ACD9B2-E79C-4567-B905-2C216BAA6CB5}" presName="hierChild1" presStyleCnt="0">
        <dgm:presLayoutVars>
          <dgm:orgChart val="1"/>
          <dgm:chPref val="1"/>
          <dgm:dir/>
          <dgm:animOne val="branch"/>
          <dgm:animLvl val="lvl"/>
          <dgm:resizeHandles/>
        </dgm:presLayoutVars>
      </dgm:prSet>
      <dgm:spPr/>
    </dgm:pt>
    <dgm:pt modelId="{685E80A3-B0B1-4B41-ADE2-794D43D59315}" type="pres">
      <dgm:prSet presAssocID="{79DFAC7A-471F-4F34-A21B-A0312A176FC9}" presName="hierRoot1" presStyleCnt="0">
        <dgm:presLayoutVars>
          <dgm:hierBranch val="init"/>
        </dgm:presLayoutVars>
      </dgm:prSet>
      <dgm:spPr/>
    </dgm:pt>
    <dgm:pt modelId="{8B2A21EC-198C-46DE-8E8D-33A3CA94E14A}" type="pres">
      <dgm:prSet presAssocID="{79DFAC7A-471F-4F34-A21B-A0312A176FC9}" presName="rootComposite1" presStyleCnt="0"/>
      <dgm:spPr/>
    </dgm:pt>
    <dgm:pt modelId="{6BECAC57-255B-471A-B679-5DC391D98EE9}" type="pres">
      <dgm:prSet presAssocID="{79DFAC7A-471F-4F34-A21B-A0312A176FC9}" presName="rootText1" presStyleLbl="node0" presStyleIdx="0" presStyleCnt="1" custScaleX="153610">
        <dgm:presLayoutVars>
          <dgm:chPref val="3"/>
        </dgm:presLayoutVars>
      </dgm:prSet>
      <dgm:spPr/>
    </dgm:pt>
    <dgm:pt modelId="{4C08AA79-A021-4B52-A6F3-999CA7A73340}" type="pres">
      <dgm:prSet presAssocID="{79DFAC7A-471F-4F34-A21B-A0312A176FC9}" presName="rootConnector1" presStyleCnt="0"/>
      <dgm:spPr/>
    </dgm:pt>
    <dgm:pt modelId="{2C53CBD9-3204-4A08-9117-610D9F6EBA68}" type="pres">
      <dgm:prSet presAssocID="{79DFAC7A-471F-4F34-A21B-A0312A176FC9}" presName="hierChild2" presStyleCnt="0"/>
      <dgm:spPr/>
    </dgm:pt>
    <dgm:pt modelId="{F8A821D6-01E7-4CB9-9E9A-A8EDE244B9EA}" type="pres">
      <dgm:prSet presAssocID="{D44D1B9A-C79A-4BC9-8268-D59B44026A95}" presName="Name37" presStyleLbl="parChTrans1D2" presStyleIdx="0" presStyleCnt="3"/>
      <dgm:spPr/>
    </dgm:pt>
    <dgm:pt modelId="{359CDD17-020A-494F-9605-6920FDB47C13}" type="pres">
      <dgm:prSet presAssocID="{584CF0E1-429E-4392-A2DD-FEA46115801E}" presName="hierRoot2" presStyleCnt="0">
        <dgm:presLayoutVars>
          <dgm:hierBranch/>
        </dgm:presLayoutVars>
      </dgm:prSet>
      <dgm:spPr/>
    </dgm:pt>
    <dgm:pt modelId="{260984FE-4C2E-48F2-BD57-B1300A79CA28}" type="pres">
      <dgm:prSet presAssocID="{584CF0E1-429E-4392-A2DD-FEA46115801E}" presName="rootComposite" presStyleCnt="0"/>
      <dgm:spPr/>
    </dgm:pt>
    <dgm:pt modelId="{28A19E53-F2CD-4723-8544-F2E2343EE3A1}" type="pres">
      <dgm:prSet presAssocID="{584CF0E1-429E-4392-A2DD-FEA46115801E}" presName="rootText" presStyleLbl="node2" presStyleIdx="0" presStyleCnt="3" custScaleX="158596">
        <dgm:presLayoutVars>
          <dgm:chPref val="3"/>
        </dgm:presLayoutVars>
      </dgm:prSet>
      <dgm:spPr/>
    </dgm:pt>
    <dgm:pt modelId="{B2C30C64-067D-4169-A824-FD40272F1DB6}" type="pres">
      <dgm:prSet presAssocID="{584CF0E1-429E-4392-A2DD-FEA46115801E}" presName="rootConnector" presStyleCnt="0"/>
      <dgm:spPr/>
    </dgm:pt>
    <dgm:pt modelId="{1A4B8559-7495-40AC-AC0D-36B7D7A8806D}" type="pres">
      <dgm:prSet presAssocID="{584CF0E1-429E-4392-A2DD-FEA46115801E}" presName="hierChild4" presStyleCnt="0"/>
      <dgm:spPr/>
    </dgm:pt>
    <dgm:pt modelId="{6F0AD264-3580-44AF-A46B-E762F0D0EE0F}" type="pres">
      <dgm:prSet presAssocID="{71FAAE52-B301-4EBE-A749-4BEDDB8827EB}" presName="Name35" presStyleLbl="parChTrans1D3" presStyleIdx="0" presStyleCnt="10"/>
      <dgm:spPr/>
    </dgm:pt>
    <dgm:pt modelId="{B6447F20-1D67-4F6A-972A-75D9E9CC0FDC}" type="pres">
      <dgm:prSet presAssocID="{226E1576-E8AB-46D2-851C-F1560EBACD8F}" presName="hierRoot2" presStyleCnt="0">
        <dgm:presLayoutVars>
          <dgm:hierBranch val="init"/>
        </dgm:presLayoutVars>
      </dgm:prSet>
      <dgm:spPr/>
    </dgm:pt>
    <dgm:pt modelId="{11DCD708-0921-4B33-AD0D-214C8940681A}" type="pres">
      <dgm:prSet presAssocID="{226E1576-E8AB-46D2-851C-F1560EBACD8F}" presName="rootComposite" presStyleCnt="0"/>
      <dgm:spPr/>
    </dgm:pt>
    <dgm:pt modelId="{E006F6CD-0BF1-4197-80A4-B4094E608F95}" type="pres">
      <dgm:prSet presAssocID="{226E1576-E8AB-46D2-851C-F1560EBACD8F}" presName="rootText" presStyleLbl="node3" presStyleIdx="0" presStyleCnt="10" custScaleX="55468" custScaleY="502157">
        <dgm:presLayoutVars>
          <dgm:chPref val="3"/>
        </dgm:presLayoutVars>
      </dgm:prSet>
      <dgm:spPr/>
    </dgm:pt>
    <dgm:pt modelId="{981129C3-9461-4DE1-BE56-E963E8A35612}" type="pres">
      <dgm:prSet presAssocID="{226E1576-E8AB-46D2-851C-F1560EBACD8F}" presName="rootConnector" presStyleCnt="0"/>
      <dgm:spPr/>
    </dgm:pt>
    <dgm:pt modelId="{CA3C0C57-A415-4AFF-BB5E-441CF1BBBA4A}" type="pres">
      <dgm:prSet presAssocID="{226E1576-E8AB-46D2-851C-F1560EBACD8F}" presName="hierChild4" presStyleCnt="0"/>
      <dgm:spPr/>
    </dgm:pt>
    <dgm:pt modelId="{A932E33D-3D37-4458-8AB0-8B1D796EE1EF}" type="pres">
      <dgm:prSet presAssocID="{226E1576-E8AB-46D2-851C-F1560EBACD8F}" presName="hierChild5" presStyleCnt="0"/>
      <dgm:spPr/>
    </dgm:pt>
    <dgm:pt modelId="{9ECB8872-DC44-4B78-A940-A045F98366B2}" type="pres">
      <dgm:prSet presAssocID="{934B9086-6C54-45ED-8578-38BEAD254EE6}" presName="Name35" presStyleLbl="parChTrans1D3" presStyleIdx="1" presStyleCnt="10"/>
      <dgm:spPr/>
    </dgm:pt>
    <dgm:pt modelId="{E518FA73-8AA2-4B46-A17E-39035A0CB6C4}" type="pres">
      <dgm:prSet presAssocID="{2A962005-E0BD-48AF-98F7-C60D47CBB7B9}" presName="hierRoot2" presStyleCnt="0">
        <dgm:presLayoutVars>
          <dgm:hierBranch val="init"/>
        </dgm:presLayoutVars>
      </dgm:prSet>
      <dgm:spPr/>
    </dgm:pt>
    <dgm:pt modelId="{F0A5A7A0-9D98-43C5-9193-5F6E78D3FE8E}" type="pres">
      <dgm:prSet presAssocID="{2A962005-E0BD-48AF-98F7-C60D47CBB7B9}" presName="rootComposite" presStyleCnt="0"/>
      <dgm:spPr/>
    </dgm:pt>
    <dgm:pt modelId="{5E29108F-15B1-4810-9A1C-084D231B4CAE}" type="pres">
      <dgm:prSet presAssocID="{2A962005-E0BD-48AF-98F7-C60D47CBB7B9}" presName="rootText" presStyleLbl="node3" presStyleIdx="1" presStyleCnt="10" custScaleX="52231" custScaleY="502157">
        <dgm:presLayoutVars>
          <dgm:chPref val="3"/>
        </dgm:presLayoutVars>
      </dgm:prSet>
      <dgm:spPr/>
    </dgm:pt>
    <dgm:pt modelId="{35D448A3-7326-40E1-B5F8-F669E0697437}" type="pres">
      <dgm:prSet presAssocID="{2A962005-E0BD-48AF-98F7-C60D47CBB7B9}" presName="rootConnector" presStyleCnt="0"/>
      <dgm:spPr/>
    </dgm:pt>
    <dgm:pt modelId="{283EB7DD-8EE7-4ED4-91B6-B76E8BEB8AAA}" type="pres">
      <dgm:prSet presAssocID="{2A962005-E0BD-48AF-98F7-C60D47CBB7B9}" presName="hierChild4" presStyleCnt="0"/>
      <dgm:spPr/>
    </dgm:pt>
    <dgm:pt modelId="{0EB9701B-62E3-4B58-A78B-712E20770E62}" type="pres">
      <dgm:prSet presAssocID="{2A962005-E0BD-48AF-98F7-C60D47CBB7B9}" presName="hierChild5" presStyleCnt="0"/>
      <dgm:spPr/>
    </dgm:pt>
    <dgm:pt modelId="{ED85E9C2-9847-4AE8-AFF0-205171503DE3}" type="pres">
      <dgm:prSet presAssocID="{584CF0E1-429E-4392-A2DD-FEA46115801E}" presName="hierChild5" presStyleCnt="0"/>
      <dgm:spPr/>
    </dgm:pt>
    <dgm:pt modelId="{A3C6CC53-C775-4DC8-B557-3C44E6A2AAD9}" type="pres">
      <dgm:prSet presAssocID="{39488A88-91FF-405E-A796-206E8699394B}" presName="Name37" presStyleLbl="parChTrans1D2" presStyleIdx="1" presStyleCnt="3"/>
      <dgm:spPr/>
    </dgm:pt>
    <dgm:pt modelId="{7FD6360C-0E33-41A4-90A7-A35E10A7D7F7}" type="pres">
      <dgm:prSet presAssocID="{0A9874B0-BCB7-462A-A437-2C34D738481B}" presName="hierRoot2" presStyleCnt="0">
        <dgm:presLayoutVars>
          <dgm:hierBranch/>
        </dgm:presLayoutVars>
      </dgm:prSet>
      <dgm:spPr/>
    </dgm:pt>
    <dgm:pt modelId="{A5760CF1-B9B4-442C-9459-E8E18D3EAEF4}" type="pres">
      <dgm:prSet presAssocID="{0A9874B0-BCB7-462A-A437-2C34D738481B}" presName="rootComposite" presStyleCnt="0"/>
      <dgm:spPr/>
    </dgm:pt>
    <dgm:pt modelId="{0F71DB70-C849-42BA-8766-4C4B7EFD19D6}" type="pres">
      <dgm:prSet presAssocID="{0A9874B0-BCB7-462A-A437-2C34D738481B}" presName="rootText" presStyleLbl="node2" presStyleIdx="1" presStyleCnt="3" custScaleX="157385">
        <dgm:presLayoutVars>
          <dgm:chPref val="3"/>
        </dgm:presLayoutVars>
      </dgm:prSet>
      <dgm:spPr/>
    </dgm:pt>
    <dgm:pt modelId="{AFE8D092-F5A8-4421-A6DD-1D132A1D39B1}" type="pres">
      <dgm:prSet presAssocID="{0A9874B0-BCB7-462A-A437-2C34D738481B}" presName="rootConnector" presStyleCnt="0"/>
      <dgm:spPr/>
    </dgm:pt>
    <dgm:pt modelId="{7B91C576-D610-43AD-8EB3-35FF3A5CBBB6}" type="pres">
      <dgm:prSet presAssocID="{0A9874B0-BCB7-462A-A437-2C34D738481B}" presName="hierChild4" presStyleCnt="0"/>
      <dgm:spPr/>
    </dgm:pt>
    <dgm:pt modelId="{04241276-15B0-4638-B68D-DF3601429A3E}" type="pres">
      <dgm:prSet presAssocID="{85A87D89-0DD7-48E0-B14F-3B6A47F2C613}" presName="Name35" presStyleLbl="parChTrans1D3" presStyleIdx="2" presStyleCnt="10"/>
      <dgm:spPr/>
    </dgm:pt>
    <dgm:pt modelId="{E0AA1323-CC5F-46B9-A933-76E354D09A23}" type="pres">
      <dgm:prSet presAssocID="{C9CB2CB3-E3E8-4820-8938-7FEC2A44D6DB}" presName="hierRoot2" presStyleCnt="0">
        <dgm:presLayoutVars>
          <dgm:hierBranch val="init"/>
        </dgm:presLayoutVars>
      </dgm:prSet>
      <dgm:spPr/>
    </dgm:pt>
    <dgm:pt modelId="{0E1BE7CC-24CF-4A4D-81F9-843EF34B59F3}" type="pres">
      <dgm:prSet presAssocID="{C9CB2CB3-E3E8-4820-8938-7FEC2A44D6DB}" presName="rootComposite" presStyleCnt="0"/>
      <dgm:spPr/>
    </dgm:pt>
    <dgm:pt modelId="{5F75827B-255C-4669-AD05-E9963127A9E6}" type="pres">
      <dgm:prSet presAssocID="{C9CB2CB3-E3E8-4820-8938-7FEC2A44D6DB}" presName="rootText" presStyleLbl="node3" presStyleIdx="2" presStyleCnt="10" custScaleX="51513" custScaleY="502832">
        <dgm:presLayoutVars>
          <dgm:chPref val="3"/>
        </dgm:presLayoutVars>
      </dgm:prSet>
      <dgm:spPr/>
    </dgm:pt>
    <dgm:pt modelId="{8F5BF0BA-CA5E-4927-9F87-A8508A2DE02C}" type="pres">
      <dgm:prSet presAssocID="{C9CB2CB3-E3E8-4820-8938-7FEC2A44D6DB}" presName="rootConnector" presStyleCnt="0"/>
      <dgm:spPr/>
    </dgm:pt>
    <dgm:pt modelId="{92FE5DF1-C6DE-4904-B421-A2FD0D9745FD}" type="pres">
      <dgm:prSet presAssocID="{C9CB2CB3-E3E8-4820-8938-7FEC2A44D6DB}" presName="hierChild4" presStyleCnt="0"/>
      <dgm:spPr/>
    </dgm:pt>
    <dgm:pt modelId="{05E18A41-A042-4318-82B9-32B7CE061662}" type="pres">
      <dgm:prSet presAssocID="{C9CB2CB3-E3E8-4820-8938-7FEC2A44D6DB}" presName="hierChild5" presStyleCnt="0"/>
      <dgm:spPr/>
    </dgm:pt>
    <dgm:pt modelId="{B9777006-DD5D-4456-9B3F-B1B2D90D996D}" type="pres">
      <dgm:prSet presAssocID="{32490F92-D73D-4123-A02C-8B01058D7F0E}" presName="Name35" presStyleLbl="parChTrans1D3" presStyleIdx="3" presStyleCnt="10"/>
      <dgm:spPr/>
    </dgm:pt>
    <dgm:pt modelId="{D3D936E3-574C-4CFB-9C2B-168B49C1ABA5}" type="pres">
      <dgm:prSet presAssocID="{E4EF4EF1-27B6-4656-9200-E9C73A8C5EDE}" presName="hierRoot2" presStyleCnt="0">
        <dgm:presLayoutVars>
          <dgm:hierBranch val="init"/>
        </dgm:presLayoutVars>
      </dgm:prSet>
      <dgm:spPr/>
    </dgm:pt>
    <dgm:pt modelId="{3369FD37-8BFC-4ACB-AFF6-DBB02C196BDC}" type="pres">
      <dgm:prSet presAssocID="{E4EF4EF1-27B6-4656-9200-E9C73A8C5EDE}" presName="rootComposite" presStyleCnt="0"/>
      <dgm:spPr/>
    </dgm:pt>
    <dgm:pt modelId="{9CBBC8D4-2F52-4F09-8780-1D2EE7E363E6}" type="pres">
      <dgm:prSet presAssocID="{E4EF4EF1-27B6-4656-9200-E9C73A8C5EDE}" presName="rootText" presStyleLbl="node3" presStyleIdx="3" presStyleCnt="10" custScaleX="51513" custScaleY="502832">
        <dgm:presLayoutVars>
          <dgm:chPref val="3"/>
        </dgm:presLayoutVars>
      </dgm:prSet>
      <dgm:spPr/>
    </dgm:pt>
    <dgm:pt modelId="{F0796E28-A62E-424F-B855-B55D410E801A}" type="pres">
      <dgm:prSet presAssocID="{E4EF4EF1-27B6-4656-9200-E9C73A8C5EDE}" presName="rootConnector" presStyleCnt="0"/>
      <dgm:spPr/>
    </dgm:pt>
    <dgm:pt modelId="{883000E1-160E-4A19-886F-59C9F6EE2D61}" type="pres">
      <dgm:prSet presAssocID="{E4EF4EF1-27B6-4656-9200-E9C73A8C5EDE}" presName="hierChild4" presStyleCnt="0"/>
      <dgm:spPr/>
    </dgm:pt>
    <dgm:pt modelId="{304AC72C-0407-4F0B-B6A0-0B554A2261C7}" type="pres">
      <dgm:prSet presAssocID="{E4EF4EF1-27B6-4656-9200-E9C73A8C5EDE}" presName="hierChild5" presStyleCnt="0"/>
      <dgm:spPr/>
    </dgm:pt>
    <dgm:pt modelId="{8F47BAEC-8171-4847-9B28-B9CA62FF1C97}" type="pres">
      <dgm:prSet presAssocID="{A0ABDF1C-0190-4CFF-BFC0-E26BF7C12E63}" presName="Name35" presStyleLbl="parChTrans1D3" presStyleIdx="4" presStyleCnt="10"/>
      <dgm:spPr/>
    </dgm:pt>
    <dgm:pt modelId="{D29CEB10-E6CD-4E42-AC44-ED3134E8664E}" type="pres">
      <dgm:prSet presAssocID="{2B0643E3-D81E-433C-BA58-14D464B30F86}" presName="hierRoot2" presStyleCnt="0">
        <dgm:presLayoutVars>
          <dgm:hierBranch val="init"/>
        </dgm:presLayoutVars>
      </dgm:prSet>
      <dgm:spPr/>
    </dgm:pt>
    <dgm:pt modelId="{EA25CBE5-8442-47BE-9F85-B5FDF8494565}" type="pres">
      <dgm:prSet presAssocID="{2B0643E3-D81E-433C-BA58-14D464B30F86}" presName="rootComposite" presStyleCnt="0"/>
      <dgm:spPr/>
    </dgm:pt>
    <dgm:pt modelId="{40CD5D42-5B77-4EBE-83E5-B648D27FF9EB}" type="pres">
      <dgm:prSet presAssocID="{2B0643E3-D81E-433C-BA58-14D464B30F86}" presName="rootText" presStyleLbl="node3" presStyleIdx="4" presStyleCnt="10" custScaleX="51513" custScaleY="502832">
        <dgm:presLayoutVars>
          <dgm:chPref val="3"/>
        </dgm:presLayoutVars>
      </dgm:prSet>
      <dgm:spPr/>
    </dgm:pt>
    <dgm:pt modelId="{D00D2145-D05A-4762-A643-8BA9FD1FEC55}" type="pres">
      <dgm:prSet presAssocID="{2B0643E3-D81E-433C-BA58-14D464B30F86}" presName="rootConnector" presStyleCnt="0"/>
      <dgm:spPr/>
    </dgm:pt>
    <dgm:pt modelId="{5809F6D0-77CF-430A-9089-E581980FDA6E}" type="pres">
      <dgm:prSet presAssocID="{2B0643E3-D81E-433C-BA58-14D464B30F86}" presName="hierChild4" presStyleCnt="0"/>
      <dgm:spPr/>
    </dgm:pt>
    <dgm:pt modelId="{A075EF52-7625-4C76-9343-5A7304C7E392}" type="pres">
      <dgm:prSet presAssocID="{2B0643E3-D81E-433C-BA58-14D464B30F86}" presName="hierChild5" presStyleCnt="0"/>
      <dgm:spPr/>
    </dgm:pt>
    <dgm:pt modelId="{90E16C01-F450-4854-894D-F9EF4750F958}" type="pres">
      <dgm:prSet presAssocID="{67A2FA3C-A6F0-4A96-8164-12E34D41CA5F}" presName="Name35" presStyleLbl="parChTrans1D3" presStyleIdx="5" presStyleCnt="10"/>
      <dgm:spPr/>
    </dgm:pt>
    <dgm:pt modelId="{974EEA91-5F4F-4AEC-8965-CA1B7C2A8226}" type="pres">
      <dgm:prSet presAssocID="{2A8E8472-17AB-41E5-AE60-C60BCF854A33}" presName="hierRoot2" presStyleCnt="0">
        <dgm:presLayoutVars>
          <dgm:hierBranch val="init"/>
        </dgm:presLayoutVars>
      </dgm:prSet>
      <dgm:spPr/>
    </dgm:pt>
    <dgm:pt modelId="{848C37B2-D5AC-4D38-A828-51F8E67999C1}" type="pres">
      <dgm:prSet presAssocID="{2A8E8472-17AB-41E5-AE60-C60BCF854A33}" presName="rootComposite" presStyleCnt="0"/>
      <dgm:spPr/>
    </dgm:pt>
    <dgm:pt modelId="{B736FF56-42CE-406E-B027-B5690B6F2DFE}" type="pres">
      <dgm:prSet presAssocID="{2A8E8472-17AB-41E5-AE60-C60BCF854A33}" presName="rootText" presStyleLbl="node3" presStyleIdx="5" presStyleCnt="10" custScaleX="51513" custScaleY="502832">
        <dgm:presLayoutVars>
          <dgm:chPref val="3"/>
        </dgm:presLayoutVars>
      </dgm:prSet>
      <dgm:spPr/>
    </dgm:pt>
    <dgm:pt modelId="{55DAA794-70CA-4E5C-BFF0-2BDA0A83739F}" type="pres">
      <dgm:prSet presAssocID="{2A8E8472-17AB-41E5-AE60-C60BCF854A33}" presName="rootConnector" presStyleCnt="0"/>
      <dgm:spPr/>
    </dgm:pt>
    <dgm:pt modelId="{8E1677BC-DDA4-4EF7-BEA1-55085B01ADB9}" type="pres">
      <dgm:prSet presAssocID="{2A8E8472-17AB-41E5-AE60-C60BCF854A33}" presName="hierChild4" presStyleCnt="0"/>
      <dgm:spPr/>
    </dgm:pt>
    <dgm:pt modelId="{90842341-20A4-4AB0-BF4A-5DFA99393551}" type="pres">
      <dgm:prSet presAssocID="{2A8E8472-17AB-41E5-AE60-C60BCF854A33}" presName="hierChild5" presStyleCnt="0"/>
      <dgm:spPr/>
    </dgm:pt>
    <dgm:pt modelId="{5C2596FC-0534-4A80-BA39-949156279F97}" type="pres">
      <dgm:prSet presAssocID="{0A9874B0-BCB7-462A-A437-2C34D738481B}" presName="hierChild5" presStyleCnt="0"/>
      <dgm:spPr/>
    </dgm:pt>
    <dgm:pt modelId="{9859B975-C3E3-4787-A575-68C469FDA6E8}" type="pres">
      <dgm:prSet presAssocID="{B3EF0C55-09EE-4553-9A78-C063CF4003D2}" presName="Name37" presStyleLbl="parChTrans1D2" presStyleIdx="2" presStyleCnt="3"/>
      <dgm:spPr/>
    </dgm:pt>
    <dgm:pt modelId="{FB91E488-8565-4BE2-B091-74D059E212FB}" type="pres">
      <dgm:prSet presAssocID="{5C13E2E2-B64F-4A4B-9E70-215690116FFC}" presName="hierRoot2" presStyleCnt="0">
        <dgm:presLayoutVars>
          <dgm:hierBranch/>
        </dgm:presLayoutVars>
      </dgm:prSet>
      <dgm:spPr/>
    </dgm:pt>
    <dgm:pt modelId="{A771482F-E9EB-4CF5-841D-BE57D14971C9}" type="pres">
      <dgm:prSet presAssocID="{5C13E2E2-B64F-4A4B-9E70-215690116FFC}" presName="rootComposite" presStyleCnt="0"/>
      <dgm:spPr/>
    </dgm:pt>
    <dgm:pt modelId="{B9E7D72C-33C2-4B1D-929A-35E1D242A886}" type="pres">
      <dgm:prSet presAssocID="{5C13E2E2-B64F-4A4B-9E70-215690116FFC}" presName="rootText" presStyleLbl="node2" presStyleIdx="2" presStyleCnt="3" custScaleX="156061">
        <dgm:presLayoutVars>
          <dgm:chPref val="3"/>
        </dgm:presLayoutVars>
      </dgm:prSet>
      <dgm:spPr/>
    </dgm:pt>
    <dgm:pt modelId="{405D9E2B-352D-4E30-966E-2697B4D2E25D}" type="pres">
      <dgm:prSet presAssocID="{5C13E2E2-B64F-4A4B-9E70-215690116FFC}" presName="rootConnector" presStyleCnt="0"/>
      <dgm:spPr/>
    </dgm:pt>
    <dgm:pt modelId="{103AFFF0-573C-4B00-B2A1-30688377897C}" type="pres">
      <dgm:prSet presAssocID="{5C13E2E2-B64F-4A4B-9E70-215690116FFC}" presName="hierChild4" presStyleCnt="0"/>
      <dgm:spPr/>
    </dgm:pt>
    <dgm:pt modelId="{B0C11891-9F0B-4B08-A374-E3D71C00DA32}" type="pres">
      <dgm:prSet presAssocID="{D244088B-E812-4429-A06B-BA69E3D7D7DB}" presName="Name35" presStyleLbl="parChTrans1D3" presStyleIdx="6" presStyleCnt="10"/>
      <dgm:spPr/>
    </dgm:pt>
    <dgm:pt modelId="{ABD33B36-4A00-4E66-A95E-87F774E0B204}" type="pres">
      <dgm:prSet presAssocID="{23C79603-CBBF-4ECF-B3F3-CA855FEB8AAE}" presName="hierRoot2" presStyleCnt="0">
        <dgm:presLayoutVars>
          <dgm:hierBranch val="init"/>
        </dgm:presLayoutVars>
      </dgm:prSet>
      <dgm:spPr/>
    </dgm:pt>
    <dgm:pt modelId="{B42A9D36-E732-4EA3-AB24-CE47F45A57A7}" type="pres">
      <dgm:prSet presAssocID="{23C79603-CBBF-4ECF-B3F3-CA855FEB8AAE}" presName="rootComposite" presStyleCnt="0"/>
      <dgm:spPr/>
    </dgm:pt>
    <dgm:pt modelId="{B35B765B-4B6F-4BDF-8765-9A8AE3DF0D49}" type="pres">
      <dgm:prSet presAssocID="{23C79603-CBBF-4ECF-B3F3-CA855FEB8AAE}" presName="rootText" presStyleLbl="node3" presStyleIdx="6" presStyleCnt="10" custScaleX="52778" custScaleY="501962">
        <dgm:presLayoutVars>
          <dgm:chPref val="3"/>
        </dgm:presLayoutVars>
      </dgm:prSet>
      <dgm:spPr/>
    </dgm:pt>
    <dgm:pt modelId="{0639412E-34B9-4F81-A709-A92248CCD4EB}" type="pres">
      <dgm:prSet presAssocID="{23C79603-CBBF-4ECF-B3F3-CA855FEB8AAE}" presName="rootConnector" presStyleCnt="0"/>
      <dgm:spPr/>
    </dgm:pt>
    <dgm:pt modelId="{979B3B73-6D6C-40E0-8435-5BC122AC0A7E}" type="pres">
      <dgm:prSet presAssocID="{23C79603-CBBF-4ECF-B3F3-CA855FEB8AAE}" presName="hierChild4" presStyleCnt="0"/>
      <dgm:spPr/>
    </dgm:pt>
    <dgm:pt modelId="{A0186763-7E92-4365-8D04-3FF4B9316C4F}" type="pres">
      <dgm:prSet presAssocID="{23C79603-CBBF-4ECF-B3F3-CA855FEB8AAE}" presName="hierChild5" presStyleCnt="0"/>
      <dgm:spPr/>
    </dgm:pt>
    <dgm:pt modelId="{AC95B2D0-191C-4B01-9E27-48F632C3E280}" type="pres">
      <dgm:prSet presAssocID="{835B12FE-6D8D-4F44-8393-BA2C37D5EAC9}" presName="Name35" presStyleLbl="parChTrans1D3" presStyleIdx="7" presStyleCnt="10"/>
      <dgm:spPr/>
    </dgm:pt>
    <dgm:pt modelId="{07B40B93-90B9-4299-B156-6751AE61AD77}" type="pres">
      <dgm:prSet presAssocID="{C526B16B-0C53-49D0-852F-8926272693BE}" presName="hierRoot2" presStyleCnt="0">
        <dgm:presLayoutVars>
          <dgm:hierBranch val="init"/>
        </dgm:presLayoutVars>
      </dgm:prSet>
      <dgm:spPr/>
    </dgm:pt>
    <dgm:pt modelId="{7CDFBE19-D7D7-4FCF-8AB4-875462A64FCD}" type="pres">
      <dgm:prSet presAssocID="{C526B16B-0C53-49D0-852F-8926272693BE}" presName="rootComposite" presStyleCnt="0"/>
      <dgm:spPr/>
    </dgm:pt>
    <dgm:pt modelId="{F7EBC6BD-0EC4-4268-805C-7A542935144F}" type="pres">
      <dgm:prSet presAssocID="{C526B16B-0C53-49D0-852F-8926272693BE}" presName="rootText" presStyleLbl="node3" presStyleIdx="7" presStyleCnt="10" custScaleX="52778" custScaleY="501962">
        <dgm:presLayoutVars>
          <dgm:chPref val="3"/>
        </dgm:presLayoutVars>
      </dgm:prSet>
      <dgm:spPr/>
    </dgm:pt>
    <dgm:pt modelId="{ACD07E4D-E9E5-4A28-9B43-75BFC230A50C}" type="pres">
      <dgm:prSet presAssocID="{C526B16B-0C53-49D0-852F-8926272693BE}" presName="rootConnector" presStyleCnt="0"/>
      <dgm:spPr/>
    </dgm:pt>
    <dgm:pt modelId="{9D62EAEC-8FC6-4A64-92F6-5EADD5F2105C}" type="pres">
      <dgm:prSet presAssocID="{C526B16B-0C53-49D0-852F-8926272693BE}" presName="hierChild4" presStyleCnt="0"/>
      <dgm:spPr/>
    </dgm:pt>
    <dgm:pt modelId="{7375F89B-2974-4884-A422-648FA608B703}" type="pres">
      <dgm:prSet presAssocID="{C526B16B-0C53-49D0-852F-8926272693BE}" presName="hierChild5" presStyleCnt="0"/>
      <dgm:spPr/>
    </dgm:pt>
    <dgm:pt modelId="{A4A6F7BB-C54F-4E61-8B56-930D1C23F09C}" type="pres">
      <dgm:prSet presAssocID="{21032C37-A787-4246-99C1-D50A3B573A67}" presName="Name35" presStyleLbl="parChTrans1D3" presStyleIdx="8" presStyleCnt="10"/>
      <dgm:spPr/>
    </dgm:pt>
    <dgm:pt modelId="{EBE25044-7C1B-462C-BAA7-6DACD1613CD2}" type="pres">
      <dgm:prSet presAssocID="{AE8C1470-58EC-4623-B6E5-62A0A4107667}" presName="hierRoot2" presStyleCnt="0">
        <dgm:presLayoutVars>
          <dgm:hierBranch val="init"/>
        </dgm:presLayoutVars>
      </dgm:prSet>
      <dgm:spPr/>
    </dgm:pt>
    <dgm:pt modelId="{1C66689F-D670-4FB6-9BC0-53685349EEA3}" type="pres">
      <dgm:prSet presAssocID="{AE8C1470-58EC-4623-B6E5-62A0A4107667}" presName="rootComposite" presStyleCnt="0"/>
      <dgm:spPr/>
    </dgm:pt>
    <dgm:pt modelId="{907EAB5F-A381-4273-B5F0-82B528919643}" type="pres">
      <dgm:prSet presAssocID="{AE8C1470-58EC-4623-B6E5-62A0A4107667}" presName="rootText" presStyleLbl="node3" presStyleIdx="8" presStyleCnt="10" custScaleX="52778" custScaleY="501962">
        <dgm:presLayoutVars>
          <dgm:chPref val="3"/>
        </dgm:presLayoutVars>
      </dgm:prSet>
      <dgm:spPr/>
    </dgm:pt>
    <dgm:pt modelId="{711E74F1-EDF8-4796-931E-78C729E19E2E}" type="pres">
      <dgm:prSet presAssocID="{AE8C1470-58EC-4623-B6E5-62A0A4107667}" presName="rootConnector" presStyleCnt="0"/>
      <dgm:spPr/>
    </dgm:pt>
    <dgm:pt modelId="{BD2FDD68-7156-4A73-9E53-D284B289FF3C}" type="pres">
      <dgm:prSet presAssocID="{AE8C1470-58EC-4623-B6E5-62A0A4107667}" presName="hierChild4" presStyleCnt="0"/>
      <dgm:spPr/>
    </dgm:pt>
    <dgm:pt modelId="{046D2F5E-32EE-4DC8-9DBE-43ADB2E79670}" type="pres">
      <dgm:prSet presAssocID="{AE8C1470-58EC-4623-B6E5-62A0A4107667}" presName="hierChild5" presStyleCnt="0"/>
      <dgm:spPr/>
    </dgm:pt>
    <dgm:pt modelId="{A3659D94-A069-4E9E-8832-229B01967FF3}" type="pres">
      <dgm:prSet presAssocID="{7088AF41-B12D-48EE-9986-994BE2152F62}" presName="Name35" presStyleLbl="parChTrans1D3" presStyleIdx="9" presStyleCnt="10"/>
      <dgm:spPr/>
    </dgm:pt>
    <dgm:pt modelId="{E2A0597B-E2AC-47FF-B6FD-F05CBD3BCCD9}" type="pres">
      <dgm:prSet presAssocID="{4B06801D-583C-4628-8B03-2C13DE2C7FA2}" presName="hierRoot2" presStyleCnt="0">
        <dgm:presLayoutVars>
          <dgm:hierBranch val="init"/>
        </dgm:presLayoutVars>
      </dgm:prSet>
      <dgm:spPr/>
    </dgm:pt>
    <dgm:pt modelId="{CFE7CBEC-38E3-4536-A887-5C1C5E0D14F4}" type="pres">
      <dgm:prSet presAssocID="{4B06801D-583C-4628-8B03-2C13DE2C7FA2}" presName="rootComposite" presStyleCnt="0"/>
      <dgm:spPr/>
    </dgm:pt>
    <dgm:pt modelId="{1330655A-85DD-4AB9-A744-BE05A47176EE}" type="pres">
      <dgm:prSet presAssocID="{4B06801D-583C-4628-8B03-2C13DE2C7FA2}" presName="rootText" presStyleLbl="node3" presStyleIdx="9" presStyleCnt="10" custScaleX="52778" custScaleY="501962">
        <dgm:presLayoutVars>
          <dgm:chPref val="3"/>
        </dgm:presLayoutVars>
      </dgm:prSet>
      <dgm:spPr/>
    </dgm:pt>
    <dgm:pt modelId="{7532331F-5525-46E9-B0B9-182CF481C001}" type="pres">
      <dgm:prSet presAssocID="{4B06801D-583C-4628-8B03-2C13DE2C7FA2}" presName="rootConnector" presStyleCnt="0"/>
      <dgm:spPr/>
    </dgm:pt>
    <dgm:pt modelId="{B30E010D-E7DE-4489-A7D2-C41E6434FA0E}" type="pres">
      <dgm:prSet presAssocID="{4B06801D-583C-4628-8B03-2C13DE2C7FA2}" presName="hierChild4" presStyleCnt="0"/>
      <dgm:spPr/>
    </dgm:pt>
    <dgm:pt modelId="{57E8A033-D966-43DB-BF14-0D583E2A1213}" type="pres">
      <dgm:prSet presAssocID="{4B06801D-583C-4628-8B03-2C13DE2C7FA2}" presName="hierChild5" presStyleCnt="0"/>
      <dgm:spPr/>
    </dgm:pt>
    <dgm:pt modelId="{6EE51831-7E41-434B-9D4A-4B18556FBF1F}" type="pres">
      <dgm:prSet presAssocID="{5C13E2E2-B64F-4A4B-9E70-215690116FFC}" presName="hierChild5" presStyleCnt="0"/>
      <dgm:spPr/>
    </dgm:pt>
    <dgm:pt modelId="{42223BB3-74E2-412F-BD5F-08B4F4488D66}" type="pres">
      <dgm:prSet presAssocID="{79DFAC7A-471F-4F34-A21B-A0312A176FC9}" presName="hierChild3" presStyleCnt="0"/>
      <dgm:spPr/>
    </dgm:pt>
  </dgm:ptLst>
  <dgm:cxnLst>
    <dgm:cxn modelId="{46E9234A-0381-4F14-A35E-9B62942FDC65}" srcId="{C5ACD9B2-E79C-4567-B905-2C216BAA6CB5}" destId="{79DFAC7A-471F-4F34-A21B-A0312A176FC9}" srcOrd="0" destOrd="0" parTransId="{5421352D-A172-4CD3-9D57-5B1615035041}" sibTransId="{816487D5-0A4B-4F4E-8DED-93A571ADCCDD}"/>
    <dgm:cxn modelId="{5FEBE604-7529-43D3-84F3-5B77DA763BB7}" srcId="{79DFAC7A-471F-4F34-A21B-A0312A176FC9}" destId="{584CF0E1-429E-4392-A2DD-FEA46115801E}" srcOrd="0" destOrd="0" parTransId="{D44D1B9A-C79A-4BC9-8268-D59B44026A95}" sibTransId="{BE47B1F1-3506-47DE-8589-880E8833AA76}"/>
    <dgm:cxn modelId="{74E8811E-FEA7-4D54-A0A8-2E6AF494EA7C}" srcId="{584CF0E1-429E-4392-A2DD-FEA46115801E}" destId="{226E1576-E8AB-46D2-851C-F1560EBACD8F}" srcOrd="0" destOrd="0" parTransId="{71FAAE52-B301-4EBE-A749-4BEDDB8827EB}" sibTransId="{9368C5B6-9ADC-4B6E-BDD6-EC4B9C545196}"/>
    <dgm:cxn modelId="{2E1749F0-4D4F-449E-AED2-0ADA6F4D9581}" srcId="{584CF0E1-429E-4392-A2DD-FEA46115801E}" destId="{2A962005-E0BD-48AF-98F7-C60D47CBB7B9}" srcOrd="1" destOrd="0" parTransId="{934B9086-6C54-45ED-8578-38BEAD254EE6}" sibTransId="{4DB4740B-FCBD-4B4D-839B-6E554C833E1F}"/>
    <dgm:cxn modelId="{62613FF7-A035-434E-AFEE-27F6CD458A4C}" srcId="{79DFAC7A-471F-4F34-A21B-A0312A176FC9}" destId="{0A9874B0-BCB7-462A-A437-2C34D738481B}" srcOrd="1" destOrd="0" parTransId="{39488A88-91FF-405E-A796-206E8699394B}" sibTransId="{5609C75F-003D-4836-833A-346EE5028F83}"/>
    <dgm:cxn modelId="{38E2F2B5-9083-48DD-836A-AE3DFE2DF57C}" srcId="{0A9874B0-BCB7-462A-A437-2C34D738481B}" destId="{C9CB2CB3-E3E8-4820-8938-7FEC2A44D6DB}" srcOrd="0" destOrd="1" parTransId="{85A87D89-0DD7-48E0-B14F-3B6A47F2C613}" sibTransId="{631CDF16-381A-4ABA-B6FA-95804607F6DE}"/>
    <dgm:cxn modelId="{F8F3078D-C6F0-4FB0-BF4E-89496E170697}" srcId="{0A9874B0-BCB7-462A-A437-2C34D738481B}" destId="{E4EF4EF1-27B6-4656-9200-E9C73A8C5EDE}" srcOrd="1" destOrd="1" parTransId="{32490F92-D73D-4123-A02C-8B01058D7F0E}" sibTransId="{B0516D6C-EFCC-4C68-B7BD-683DB574E0BF}"/>
    <dgm:cxn modelId="{2255902D-24B9-48D7-A946-73972157EBCE}" srcId="{0A9874B0-BCB7-462A-A437-2C34D738481B}" destId="{2B0643E3-D81E-433C-BA58-14D464B30F86}" srcOrd="2" destOrd="1" parTransId="{A0ABDF1C-0190-4CFF-BFC0-E26BF7C12E63}" sibTransId="{FDE0C624-3D52-422A-A4F7-F1DE9BECC803}"/>
    <dgm:cxn modelId="{13F65CE8-3068-4CF1-BF1F-D03AF03F62C0}" srcId="{0A9874B0-BCB7-462A-A437-2C34D738481B}" destId="{2A8E8472-17AB-41E5-AE60-C60BCF854A33}" srcOrd="3" destOrd="1" parTransId="{67A2FA3C-A6F0-4A96-8164-12E34D41CA5F}" sibTransId="{42F91FC2-6ECF-42E8-8396-C0EB4486D840}"/>
    <dgm:cxn modelId="{F7E0C9FB-00C6-441F-BF07-0605B83EE582}" srcId="{79DFAC7A-471F-4F34-A21B-A0312A176FC9}" destId="{5C13E2E2-B64F-4A4B-9E70-215690116FFC}" srcOrd="2" destOrd="0" parTransId="{B3EF0C55-09EE-4553-9A78-C063CF4003D2}" sibTransId="{30216CC9-6D6D-4950-96ED-BAD08646985D}"/>
    <dgm:cxn modelId="{DCB6A4C9-8235-4BF5-AD9E-15515DCA8972}" srcId="{5C13E2E2-B64F-4A4B-9E70-215690116FFC}" destId="{23C79603-CBBF-4ECF-B3F3-CA855FEB8AAE}" srcOrd="0" destOrd="2" parTransId="{D244088B-E812-4429-A06B-BA69E3D7D7DB}" sibTransId="{71C65594-16A9-4B3B-8772-4F6BFA93A874}"/>
    <dgm:cxn modelId="{00E146C4-1C05-4B56-8DC1-11496E6D11BB}" srcId="{5C13E2E2-B64F-4A4B-9E70-215690116FFC}" destId="{C526B16B-0C53-49D0-852F-8926272693BE}" srcOrd="1" destOrd="2" parTransId="{835B12FE-6D8D-4F44-8393-BA2C37D5EAC9}" sibTransId="{765C0235-993F-4FEE-B597-2F68EC3977A9}"/>
    <dgm:cxn modelId="{A6CD6E88-6EC9-42FF-B855-24DAD53F7C6D}" srcId="{5C13E2E2-B64F-4A4B-9E70-215690116FFC}" destId="{AE8C1470-58EC-4623-B6E5-62A0A4107667}" srcOrd="2" destOrd="2" parTransId="{21032C37-A787-4246-99C1-D50A3B573A67}" sibTransId="{B5375911-BD25-4C09-97AC-64A077F28719}"/>
    <dgm:cxn modelId="{B0D710F1-51F0-4332-9F83-84A65B7C0748}" srcId="{5C13E2E2-B64F-4A4B-9E70-215690116FFC}" destId="{4B06801D-583C-4628-8B03-2C13DE2C7FA2}" srcOrd="3" destOrd="2" parTransId="{7088AF41-B12D-48EE-9986-994BE2152F62}" sibTransId="{F50FF612-4341-4E7D-AB8F-5951E05D4787}"/>
    <dgm:cxn modelId="{C63EFC99-4BA2-4B42-A912-EA345EB6A30B}" type="presOf" srcId="{C5ACD9B2-E79C-4567-B905-2C216BAA6CB5}" destId="{6BFCD743-CC98-4957-9F64-B49BCE7A427C}" srcOrd="0" destOrd="0" presId="urn:microsoft.com/office/officeart/2005/8/layout/orgChart1"/>
    <dgm:cxn modelId="{3133E1E6-564B-482F-86C1-585B903898E1}" type="presParOf" srcId="{6BFCD743-CC98-4957-9F64-B49BCE7A427C}" destId="{685E80A3-B0B1-4B41-ADE2-794D43D59315}" srcOrd="0" destOrd="0" presId="urn:microsoft.com/office/officeart/2005/8/layout/orgChart1"/>
    <dgm:cxn modelId="{C37A2AC5-BCAD-4BB8-A8E6-56088BD6B0D4}" type="presParOf" srcId="{685E80A3-B0B1-4B41-ADE2-794D43D59315}" destId="{8B2A21EC-198C-46DE-8E8D-33A3CA94E14A}" srcOrd="0" destOrd="0" presId="urn:microsoft.com/office/officeart/2005/8/layout/orgChart1"/>
    <dgm:cxn modelId="{92A42EFF-157A-4C2D-B9E6-C74B46DA15E1}" type="presOf" srcId="{79DFAC7A-471F-4F34-A21B-A0312A176FC9}" destId="{8B2A21EC-198C-46DE-8E8D-33A3CA94E14A}" srcOrd="0" destOrd="0" presId="urn:microsoft.com/office/officeart/2005/8/layout/orgChart1"/>
    <dgm:cxn modelId="{CC46A3BE-C42D-462B-BB0D-11F66351B3AD}" type="presParOf" srcId="{8B2A21EC-198C-46DE-8E8D-33A3CA94E14A}" destId="{6BECAC57-255B-471A-B679-5DC391D98EE9}" srcOrd="0" destOrd="0" presId="urn:microsoft.com/office/officeart/2005/8/layout/orgChart1"/>
    <dgm:cxn modelId="{D7F5E8BA-8839-4AC3-88C4-D9E633462BA9}" type="presOf" srcId="{79DFAC7A-471F-4F34-A21B-A0312A176FC9}" destId="{6BECAC57-255B-471A-B679-5DC391D98EE9}" srcOrd="0" destOrd="0" presId="urn:microsoft.com/office/officeart/2005/8/layout/orgChart1"/>
    <dgm:cxn modelId="{28353324-FF84-49E3-9E3A-21B5A45AF63C}" type="presParOf" srcId="{8B2A21EC-198C-46DE-8E8D-33A3CA94E14A}" destId="{4C08AA79-A021-4B52-A6F3-999CA7A73340}" srcOrd="1" destOrd="0" presId="urn:microsoft.com/office/officeart/2005/8/layout/orgChart1"/>
    <dgm:cxn modelId="{5303EDE5-DC15-4A1D-B225-D92514EF25E8}" type="presOf" srcId="{79DFAC7A-471F-4F34-A21B-A0312A176FC9}" destId="{4C08AA79-A021-4B52-A6F3-999CA7A73340}" srcOrd="0" destOrd="0" presId="urn:microsoft.com/office/officeart/2005/8/layout/orgChart1"/>
    <dgm:cxn modelId="{CCD5F9C2-6C7A-48DD-868D-FC6868D8B140}" type="presParOf" srcId="{685E80A3-B0B1-4B41-ADE2-794D43D59315}" destId="{2C53CBD9-3204-4A08-9117-610D9F6EBA68}" srcOrd="1" destOrd="0" presId="urn:microsoft.com/office/officeart/2005/8/layout/orgChart1"/>
    <dgm:cxn modelId="{4E7066DB-4310-4680-A2EA-D4767C22CDDA}" type="presParOf" srcId="{2C53CBD9-3204-4A08-9117-610D9F6EBA68}" destId="{F8A821D6-01E7-4CB9-9E9A-A8EDE244B9EA}" srcOrd="0" destOrd="1" presId="urn:microsoft.com/office/officeart/2005/8/layout/orgChart1"/>
    <dgm:cxn modelId="{5BB2AB30-E45B-42C6-87FE-9FEBA6DFD910}" type="presOf" srcId="{D44D1B9A-C79A-4BC9-8268-D59B44026A95}" destId="{F8A821D6-01E7-4CB9-9E9A-A8EDE244B9EA}" srcOrd="0" destOrd="0" presId="urn:microsoft.com/office/officeart/2005/8/layout/orgChart1"/>
    <dgm:cxn modelId="{8DB4B0A7-52F4-414D-9CBF-CD05069E26CA}" type="presParOf" srcId="{2C53CBD9-3204-4A08-9117-610D9F6EBA68}" destId="{359CDD17-020A-494F-9605-6920FDB47C13}" srcOrd="1" destOrd="1" presId="urn:microsoft.com/office/officeart/2005/8/layout/orgChart1"/>
    <dgm:cxn modelId="{90DDBB07-F981-4E83-95E4-081FD78B2D07}" type="presParOf" srcId="{359CDD17-020A-494F-9605-6920FDB47C13}" destId="{260984FE-4C2E-48F2-BD57-B1300A79CA28}" srcOrd="0" destOrd="1" presId="urn:microsoft.com/office/officeart/2005/8/layout/orgChart1"/>
    <dgm:cxn modelId="{21ADA4CD-20B4-4AE8-B789-93415BF0F348}" type="presOf" srcId="{584CF0E1-429E-4392-A2DD-FEA46115801E}" destId="{260984FE-4C2E-48F2-BD57-B1300A79CA28}" srcOrd="0" destOrd="0" presId="urn:microsoft.com/office/officeart/2005/8/layout/orgChart1"/>
    <dgm:cxn modelId="{F301F7E5-0A11-4641-95C6-6207A32E4525}" type="presParOf" srcId="{260984FE-4C2E-48F2-BD57-B1300A79CA28}" destId="{28A19E53-F2CD-4723-8544-F2E2343EE3A1}" srcOrd="0" destOrd="0" presId="urn:microsoft.com/office/officeart/2005/8/layout/orgChart1"/>
    <dgm:cxn modelId="{E63E3626-3B7F-4A37-BB21-6988A1FD0214}" type="presOf" srcId="{584CF0E1-429E-4392-A2DD-FEA46115801E}" destId="{28A19E53-F2CD-4723-8544-F2E2343EE3A1}" srcOrd="0" destOrd="0" presId="urn:microsoft.com/office/officeart/2005/8/layout/orgChart1"/>
    <dgm:cxn modelId="{F71EDE7F-3D72-40DA-9E54-EE50FFE3942F}" type="presParOf" srcId="{260984FE-4C2E-48F2-BD57-B1300A79CA28}" destId="{B2C30C64-067D-4169-A824-FD40272F1DB6}" srcOrd="1" destOrd="0" presId="urn:microsoft.com/office/officeart/2005/8/layout/orgChart1"/>
    <dgm:cxn modelId="{E96B601B-E48C-46A1-861A-B31DC39B9F95}" type="presOf" srcId="{584CF0E1-429E-4392-A2DD-FEA46115801E}" destId="{B2C30C64-067D-4169-A824-FD40272F1DB6}" srcOrd="0" destOrd="0" presId="urn:microsoft.com/office/officeart/2005/8/layout/orgChart1"/>
    <dgm:cxn modelId="{2BCDEC64-28C6-4652-A888-A2E63B657631}" type="presParOf" srcId="{359CDD17-020A-494F-9605-6920FDB47C13}" destId="{1A4B8559-7495-40AC-AC0D-36B7D7A8806D}" srcOrd="1" destOrd="1" presId="urn:microsoft.com/office/officeart/2005/8/layout/orgChart1"/>
    <dgm:cxn modelId="{C5C53AA9-E9BE-426D-8E62-E7D458D9BA92}" type="presParOf" srcId="{1A4B8559-7495-40AC-AC0D-36B7D7A8806D}" destId="{6F0AD264-3580-44AF-A46B-E762F0D0EE0F}" srcOrd="0" destOrd="1" presId="urn:microsoft.com/office/officeart/2005/8/layout/orgChart1"/>
    <dgm:cxn modelId="{E282AAA9-CB22-4DB2-914F-EA0A280B5AC2}" type="presOf" srcId="{71FAAE52-B301-4EBE-A749-4BEDDB8827EB}" destId="{6F0AD264-3580-44AF-A46B-E762F0D0EE0F}" srcOrd="0" destOrd="0" presId="urn:microsoft.com/office/officeart/2005/8/layout/orgChart1"/>
    <dgm:cxn modelId="{C1C05164-DF4A-4C3D-9475-B8B2EADF37F9}" type="presParOf" srcId="{1A4B8559-7495-40AC-AC0D-36B7D7A8806D}" destId="{B6447F20-1D67-4F6A-972A-75D9E9CC0FDC}" srcOrd="1" destOrd="1" presId="urn:microsoft.com/office/officeart/2005/8/layout/orgChart1"/>
    <dgm:cxn modelId="{4A7BA987-BDE3-44CE-9E49-49AED196ABB7}" type="presParOf" srcId="{B6447F20-1D67-4F6A-972A-75D9E9CC0FDC}" destId="{11DCD708-0921-4B33-AD0D-214C8940681A}" srcOrd="0" destOrd="1" presId="urn:microsoft.com/office/officeart/2005/8/layout/orgChart1"/>
    <dgm:cxn modelId="{2805C69F-6277-427D-97DD-806AC964A597}" type="presOf" srcId="{226E1576-E8AB-46D2-851C-F1560EBACD8F}" destId="{11DCD708-0921-4B33-AD0D-214C8940681A}" srcOrd="0" destOrd="0" presId="urn:microsoft.com/office/officeart/2005/8/layout/orgChart1"/>
    <dgm:cxn modelId="{1D224508-05EA-48F0-AA56-32286211112B}" type="presParOf" srcId="{11DCD708-0921-4B33-AD0D-214C8940681A}" destId="{E006F6CD-0BF1-4197-80A4-B4094E608F95}" srcOrd="0" destOrd="0" presId="urn:microsoft.com/office/officeart/2005/8/layout/orgChart1"/>
    <dgm:cxn modelId="{A4556465-5C2D-4DD7-AD38-F8DAD7A05D7A}" type="presOf" srcId="{226E1576-E8AB-46D2-851C-F1560EBACD8F}" destId="{E006F6CD-0BF1-4197-80A4-B4094E608F95}" srcOrd="0" destOrd="0" presId="urn:microsoft.com/office/officeart/2005/8/layout/orgChart1"/>
    <dgm:cxn modelId="{6C64D49A-E316-402F-8B19-E6BA17C9568C}" type="presParOf" srcId="{11DCD708-0921-4B33-AD0D-214C8940681A}" destId="{981129C3-9461-4DE1-BE56-E963E8A35612}" srcOrd="1" destOrd="0" presId="urn:microsoft.com/office/officeart/2005/8/layout/orgChart1"/>
    <dgm:cxn modelId="{AD84C6C3-8415-454C-AC95-C32409C1E6E1}" type="presOf" srcId="{226E1576-E8AB-46D2-851C-F1560EBACD8F}" destId="{981129C3-9461-4DE1-BE56-E963E8A35612}" srcOrd="0" destOrd="0" presId="urn:microsoft.com/office/officeart/2005/8/layout/orgChart1"/>
    <dgm:cxn modelId="{5892E376-6B09-4A9A-968B-34121FC642B5}" type="presParOf" srcId="{B6447F20-1D67-4F6A-972A-75D9E9CC0FDC}" destId="{CA3C0C57-A415-4AFF-BB5E-441CF1BBBA4A}" srcOrd="1" destOrd="1" presId="urn:microsoft.com/office/officeart/2005/8/layout/orgChart1"/>
    <dgm:cxn modelId="{1730C0BB-7635-400E-B2EC-9B1E9F12180C}" type="presParOf" srcId="{B6447F20-1D67-4F6A-972A-75D9E9CC0FDC}" destId="{A932E33D-3D37-4458-8AB0-8B1D796EE1EF}" srcOrd="2" destOrd="1" presId="urn:microsoft.com/office/officeart/2005/8/layout/orgChart1"/>
    <dgm:cxn modelId="{542657CF-EDD3-4B98-BBA4-B7D6F644845D}" type="presParOf" srcId="{1A4B8559-7495-40AC-AC0D-36B7D7A8806D}" destId="{9ECB8872-DC44-4B78-A940-A045F98366B2}" srcOrd="2" destOrd="1" presId="urn:microsoft.com/office/officeart/2005/8/layout/orgChart1"/>
    <dgm:cxn modelId="{224A129D-00A1-47DE-B772-C87CCDCE5BD6}" type="presOf" srcId="{934B9086-6C54-45ED-8578-38BEAD254EE6}" destId="{9ECB8872-DC44-4B78-A940-A045F98366B2}" srcOrd="0" destOrd="0" presId="urn:microsoft.com/office/officeart/2005/8/layout/orgChart1"/>
    <dgm:cxn modelId="{A5BAC5B1-1284-4AD7-9F62-62FA811B87F8}" type="presParOf" srcId="{1A4B8559-7495-40AC-AC0D-36B7D7A8806D}" destId="{E518FA73-8AA2-4B46-A17E-39035A0CB6C4}" srcOrd="3" destOrd="1" presId="urn:microsoft.com/office/officeart/2005/8/layout/orgChart1"/>
    <dgm:cxn modelId="{554E8731-A486-4EEF-B400-F320B2F8CFA7}" type="presParOf" srcId="{E518FA73-8AA2-4B46-A17E-39035A0CB6C4}" destId="{F0A5A7A0-9D98-43C5-9193-5F6E78D3FE8E}" srcOrd="0" destOrd="3" presId="urn:microsoft.com/office/officeart/2005/8/layout/orgChart1"/>
    <dgm:cxn modelId="{5219060D-69AD-4250-816E-C1C32AA72C54}" type="presOf" srcId="{2A962005-E0BD-48AF-98F7-C60D47CBB7B9}" destId="{F0A5A7A0-9D98-43C5-9193-5F6E78D3FE8E}" srcOrd="0" destOrd="0" presId="urn:microsoft.com/office/officeart/2005/8/layout/orgChart1"/>
    <dgm:cxn modelId="{F304A191-BE63-42BD-AD6F-200ADD877019}" type="presParOf" srcId="{F0A5A7A0-9D98-43C5-9193-5F6E78D3FE8E}" destId="{5E29108F-15B1-4810-9A1C-084D231B4CAE}" srcOrd="0" destOrd="0" presId="urn:microsoft.com/office/officeart/2005/8/layout/orgChart1"/>
    <dgm:cxn modelId="{1718B526-6199-46BC-82D9-1E5FFCD483D1}" type="presOf" srcId="{2A962005-E0BD-48AF-98F7-C60D47CBB7B9}" destId="{5E29108F-15B1-4810-9A1C-084D231B4CAE}" srcOrd="0" destOrd="0" presId="urn:microsoft.com/office/officeart/2005/8/layout/orgChart1"/>
    <dgm:cxn modelId="{F7E7DEE2-29A3-41C8-A58E-BCC3945F5FA6}" type="presParOf" srcId="{F0A5A7A0-9D98-43C5-9193-5F6E78D3FE8E}" destId="{35D448A3-7326-40E1-B5F8-F669E0697437}" srcOrd="1" destOrd="0" presId="urn:microsoft.com/office/officeart/2005/8/layout/orgChart1"/>
    <dgm:cxn modelId="{B5B9A097-D2E3-4541-95C1-0F94A28EAAC0}" type="presOf" srcId="{2A962005-E0BD-48AF-98F7-C60D47CBB7B9}" destId="{35D448A3-7326-40E1-B5F8-F669E0697437}" srcOrd="0" destOrd="0" presId="urn:microsoft.com/office/officeart/2005/8/layout/orgChart1"/>
    <dgm:cxn modelId="{52E2C606-29FC-4116-84E3-E74C210BD085}" type="presParOf" srcId="{E518FA73-8AA2-4B46-A17E-39035A0CB6C4}" destId="{283EB7DD-8EE7-4ED4-91B6-B76E8BEB8AAA}" srcOrd="1" destOrd="3" presId="urn:microsoft.com/office/officeart/2005/8/layout/orgChart1"/>
    <dgm:cxn modelId="{61C0D0FE-9D7C-421A-A8EF-F262729024BC}" type="presParOf" srcId="{E518FA73-8AA2-4B46-A17E-39035A0CB6C4}" destId="{0EB9701B-62E3-4B58-A78B-712E20770E62}" srcOrd="2" destOrd="3" presId="urn:microsoft.com/office/officeart/2005/8/layout/orgChart1"/>
    <dgm:cxn modelId="{9FC12069-C2A5-49FF-89F7-5D808C846761}" type="presParOf" srcId="{359CDD17-020A-494F-9605-6920FDB47C13}" destId="{ED85E9C2-9847-4AE8-AFF0-205171503DE3}" srcOrd="2" destOrd="1" presId="urn:microsoft.com/office/officeart/2005/8/layout/orgChart1"/>
    <dgm:cxn modelId="{25FD40FA-3306-4BF6-AF7F-5F9F20A5545B}" type="presParOf" srcId="{2C53CBD9-3204-4A08-9117-610D9F6EBA68}" destId="{A3C6CC53-C775-4DC8-B557-3C44E6A2AAD9}" srcOrd="2" destOrd="1" presId="urn:microsoft.com/office/officeart/2005/8/layout/orgChart1"/>
    <dgm:cxn modelId="{7CF194A4-B5E1-43E8-BD79-57FB3FE52E3B}" type="presOf" srcId="{39488A88-91FF-405E-A796-206E8699394B}" destId="{A3C6CC53-C775-4DC8-B557-3C44E6A2AAD9}" srcOrd="0" destOrd="0" presId="urn:microsoft.com/office/officeart/2005/8/layout/orgChart1"/>
    <dgm:cxn modelId="{ABFBDD7A-6A29-49A1-A29E-713DE4D0F9D1}" type="presParOf" srcId="{2C53CBD9-3204-4A08-9117-610D9F6EBA68}" destId="{7FD6360C-0E33-41A4-90A7-A35E10A7D7F7}" srcOrd="3" destOrd="1" presId="urn:microsoft.com/office/officeart/2005/8/layout/orgChart1"/>
    <dgm:cxn modelId="{8BB75428-2A26-4D52-B69A-8F225F98DB9B}" type="presParOf" srcId="{7FD6360C-0E33-41A4-90A7-A35E10A7D7F7}" destId="{A5760CF1-B9B4-442C-9459-E8E18D3EAEF4}" srcOrd="0" destOrd="3" presId="urn:microsoft.com/office/officeart/2005/8/layout/orgChart1"/>
    <dgm:cxn modelId="{5536E1F7-EF8C-4F69-9A17-8D58646AE8C6}" type="presOf" srcId="{0A9874B0-BCB7-462A-A437-2C34D738481B}" destId="{A5760CF1-B9B4-442C-9459-E8E18D3EAEF4}" srcOrd="0" destOrd="0" presId="urn:microsoft.com/office/officeart/2005/8/layout/orgChart1"/>
    <dgm:cxn modelId="{CDD6EDF2-83A6-49BE-88A4-AC9F351A2B64}" type="presParOf" srcId="{A5760CF1-B9B4-442C-9459-E8E18D3EAEF4}" destId="{0F71DB70-C849-42BA-8766-4C4B7EFD19D6}" srcOrd="0" destOrd="0" presId="urn:microsoft.com/office/officeart/2005/8/layout/orgChart1"/>
    <dgm:cxn modelId="{25F69792-31C9-45C1-90F9-2D1D97E630C4}" type="presOf" srcId="{0A9874B0-BCB7-462A-A437-2C34D738481B}" destId="{0F71DB70-C849-42BA-8766-4C4B7EFD19D6}" srcOrd="0" destOrd="0" presId="urn:microsoft.com/office/officeart/2005/8/layout/orgChart1"/>
    <dgm:cxn modelId="{3EB6D4E1-E385-4A7B-A002-115947B59122}" type="presParOf" srcId="{A5760CF1-B9B4-442C-9459-E8E18D3EAEF4}" destId="{AFE8D092-F5A8-4421-A6DD-1D132A1D39B1}" srcOrd="1" destOrd="0" presId="urn:microsoft.com/office/officeart/2005/8/layout/orgChart1"/>
    <dgm:cxn modelId="{AC4C1A41-AFEB-4E8B-A908-FE7D2E99CE3F}" type="presOf" srcId="{0A9874B0-BCB7-462A-A437-2C34D738481B}" destId="{AFE8D092-F5A8-4421-A6DD-1D132A1D39B1}" srcOrd="0" destOrd="0" presId="urn:microsoft.com/office/officeart/2005/8/layout/orgChart1"/>
    <dgm:cxn modelId="{FD894CBB-8973-4EFF-8C44-4C76187122A7}" type="presParOf" srcId="{7FD6360C-0E33-41A4-90A7-A35E10A7D7F7}" destId="{7B91C576-D610-43AD-8EB3-35FF3A5CBBB6}" srcOrd="1" destOrd="3" presId="urn:microsoft.com/office/officeart/2005/8/layout/orgChart1"/>
    <dgm:cxn modelId="{794E7AAE-28B3-4F76-9770-340C00219F8F}" type="presParOf" srcId="{7B91C576-D610-43AD-8EB3-35FF3A5CBBB6}" destId="{04241276-15B0-4638-B68D-DF3601429A3E}" srcOrd="0" destOrd="1" presId="urn:microsoft.com/office/officeart/2005/8/layout/orgChart1"/>
    <dgm:cxn modelId="{2AFBCF87-9AD9-411C-BDB0-5B3413720E68}" type="presOf" srcId="{85A87D89-0DD7-48E0-B14F-3B6A47F2C613}" destId="{04241276-15B0-4638-B68D-DF3601429A3E}" srcOrd="0" destOrd="0" presId="urn:microsoft.com/office/officeart/2005/8/layout/orgChart1"/>
    <dgm:cxn modelId="{5C214EBD-5819-4A89-A907-FBCD41AB154A}" type="presParOf" srcId="{7B91C576-D610-43AD-8EB3-35FF3A5CBBB6}" destId="{E0AA1323-CC5F-46B9-A933-76E354D09A23}" srcOrd="1" destOrd="1" presId="urn:microsoft.com/office/officeart/2005/8/layout/orgChart1"/>
    <dgm:cxn modelId="{0D2E592A-CDB0-4D03-81A5-5F0CC63EF750}" type="presParOf" srcId="{E0AA1323-CC5F-46B9-A933-76E354D09A23}" destId="{0E1BE7CC-24CF-4A4D-81F9-843EF34B59F3}" srcOrd="0" destOrd="1" presId="urn:microsoft.com/office/officeart/2005/8/layout/orgChart1"/>
    <dgm:cxn modelId="{035FC6AF-E890-4B34-8EB2-903E17E5D27E}" type="presOf" srcId="{C9CB2CB3-E3E8-4820-8938-7FEC2A44D6DB}" destId="{0E1BE7CC-24CF-4A4D-81F9-843EF34B59F3}" srcOrd="0" destOrd="0" presId="urn:microsoft.com/office/officeart/2005/8/layout/orgChart1"/>
    <dgm:cxn modelId="{85B88C0D-729B-4F06-B474-5620F8D456F1}" type="presParOf" srcId="{0E1BE7CC-24CF-4A4D-81F9-843EF34B59F3}" destId="{5F75827B-255C-4669-AD05-E9963127A9E6}" srcOrd="0" destOrd="0" presId="urn:microsoft.com/office/officeart/2005/8/layout/orgChart1"/>
    <dgm:cxn modelId="{5DE0108B-648F-453B-85F5-D5F4F3FD68B5}" type="presOf" srcId="{C9CB2CB3-E3E8-4820-8938-7FEC2A44D6DB}" destId="{5F75827B-255C-4669-AD05-E9963127A9E6}" srcOrd="0" destOrd="0" presId="urn:microsoft.com/office/officeart/2005/8/layout/orgChart1"/>
    <dgm:cxn modelId="{B5183E7F-C4A1-4E42-A6D7-FC858E600260}" type="presParOf" srcId="{0E1BE7CC-24CF-4A4D-81F9-843EF34B59F3}" destId="{8F5BF0BA-CA5E-4927-9F87-A8508A2DE02C}" srcOrd="1" destOrd="0" presId="urn:microsoft.com/office/officeart/2005/8/layout/orgChart1"/>
    <dgm:cxn modelId="{8BFC96C7-9498-4DE3-BF47-5B6BB7CA1876}" type="presOf" srcId="{C9CB2CB3-E3E8-4820-8938-7FEC2A44D6DB}" destId="{8F5BF0BA-CA5E-4927-9F87-A8508A2DE02C}" srcOrd="0" destOrd="0" presId="urn:microsoft.com/office/officeart/2005/8/layout/orgChart1"/>
    <dgm:cxn modelId="{70D4D19E-260A-48B0-A03A-B16062CED44A}" type="presParOf" srcId="{E0AA1323-CC5F-46B9-A933-76E354D09A23}" destId="{92FE5DF1-C6DE-4904-B421-A2FD0D9745FD}" srcOrd="1" destOrd="1" presId="urn:microsoft.com/office/officeart/2005/8/layout/orgChart1"/>
    <dgm:cxn modelId="{496DE781-B1EE-4644-AFE3-112256708739}" type="presParOf" srcId="{E0AA1323-CC5F-46B9-A933-76E354D09A23}" destId="{05E18A41-A042-4318-82B9-32B7CE061662}" srcOrd="2" destOrd="1" presId="urn:microsoft.com/office/officeart/2005/8/layout/orgChart1"/>
    <dgm:cxn modelId="{BEBDBF7B-1C5C-4F32-BA60-969427BD2ED1}" type="presParOf" srcId="{7B91C576-D610-43AD-8EB3-35FF3A5CBBB6}" destId="{B9777006-DD5D-4456-9B3F-B1B2D90D996D}" srcOrd="2" destOrd="1" presId="urn:microsoft.com/office/officeart/2005/8/layout/orgChart1"/>
    <dgm:cxn modelId="{1C8B06A0-941A-44BF-A36F-B67F7F866D02}" type="presOf" srcId="{32490F92-D73D-4123-A02C-8B01058D7F0E}" destId="{B9777006-DD5D-4456-9B3F-B1B2D90D996D}" srcOrd="0" destOrd="0" presId="urn:microsoft.com/office/officeart/2005/8/layout/orgChart1"/>
    <dgm:cxn modelId="{F91D3F18-E755-44F2-BB2F-3273A96EE816}" type="presParOf" srcId="{7B91C576-D610-43AD-8EB3-35FF3A5CBBB6}" destId="{D3D936E3-574C-4CFB-9C2B-168B49C1ABA5}" srcOrd="3" destOrd="1" presId="urn:microsoft.com/office/officeart/2005/8/layout/orgChart1"/>
    <dgm:cxn modelId="{C8D1F530-C043-4D05-82D0-73E27CE2DC2C}" type="presParOf" srcId="{D3D936E3-574C-4CFB-9C2B-168B49C1ABA5}" destId="{3369FD37-8BFC-4ACB-AFF6-DBB02C196BDC}" srcOrd="0" destOrd="3" presId="urn:microsoft.com/office/officeart/2005/8/layout/orgChart1"/>
    <dgm:cxn modelId="{F4369B5A-AD62-4AFA-B8B8-A9ABCC5B22D5}" type="presOf" srcId="{E4EF4EF1-27B6-4656-9200-E9C73A8C5EDE}" destId="{3369FD37-8BFC-4ACB-AFF6-DBB02C196BDC}" srcOrd="0" destOrd="0" presId="urn:microsoft.com/office/officeart/2005/8/layout/orgChart1"/>
    <dgm:cxn modelId="{2C0A7DD6-D871-4E0E-A3D2-274AC62538C3}" type="presParOf" srcId="{3369FD37-8BFC-4ACB-AFF6-DBB02C196BDC}" destId="{9CBBC8D4-2F52-4F09-8780-1D2EE7E363E6}" srcOrd="0" destOrd="0" presId="urn:microsoft.com/office/officeart/2005/8/layout/orgChart1"/>
    <dgm:cxn modelId="{ED312F05-A63B-4ECA-84D7-248E1AACED55}" type="presOf" srcId="{E4EF4EF1-27B6-4656-9200-E9C73A8C5EDE}" destId="{9CBBC8D4-2F52-4F09-8780-1D2EE7E363E6}" srcOrd="0" destOrd="0" presId="urn:microsoft.com/office/officeart/2005/8/layout/orgChart1"/>
    <dgm:cxn modelId="{E9F07705-A868-4692-85D0-B117251664B1}" type="presParOf" srcId="{3369FD37-8BFC-4ACB-AFF6-DBB02C196BDC}" destId="{F0796E28-A62E-424F-B855-B55D410E801A}" srcOrd="1" destOrd="0" presId="urn:microsoft.com/office/officeart/2005/8/layout/orgChart1"/>
    <dgm:cxn modelId="{14D240B7-BBC4-4983-BAA4-33531E72CF0B}" type="presOf" srcId="{E4EF4EF1-27B6-4656-9200-E9C73A8C5EDE}" destId="{F0796E28-A62E-424F-B855-B55D410E801A}" srcOrd="0" destOrd="0" presId="urn:microsoft.com/office/officeart/2005/8/layout/orgChart1"/>
    <dgm:cxn modelId="{BF662BA0-B34E-42F1-8521-CBF476AF0032}" type="presParOf" srcId="{D3D936E3-574C-4CFB-9C2B-168B49C1ABA5}" destId="{883000E1-160E-4A19-886F-59C9F6EE2D61}" srcOrd="1" destOrd="3" presId="urn:microsoft.com/office/officeart/2005/8/layout/orgChart1"/>
    <dgm:cxn modelId="{3993650D-9A2B-4D04-91AD-2009C30ACF2D}" type="presParOf" srcId="{D3D936E3-574C-4CFB-9C2B-168B49C1ABA5}" destId="{304AC72C-0407-4F0B-B6A0-0B554A2261C7}" srcOrd="2" destOrd="3" presId="urn:microsoft.com/office/officeart/2005/8/layout/orgChart1"/>
    <dgm:cxn modelId="{A869857F-DE23-4EDE-A94E-14855A027BA8}" type="presParOf" srcId="{7B91C576-D610-43AD-8EB3-35FF3A5CBBB6}" destId="{8F47BAEC-8171-4847-9B28-B9CA62FF1C97}" srcOrd="4" destOrd="1" presId="urn:microsoft.com/office/officeart/2005/8/layout/orgChart1"/>
    <dgm:cxn modelId="{11A8ABFC-7E46-4D81-8128-FFEE4283D0CF}" type="presOf" srcId="{A0ABDF1C-0190-4CFF-BFC0-E26BF7C12E63}" destId="{8F47BAEC-8171-4847-9B28-B9CA62FF1C97}" srcOrd="0" destOrd="0" presId="urn:microsoft.com/office/officeart/2005/8/layout/orgChart1"/>
    <dgm:cxn modelId="{A46552A7-ED58-45AE-8814-44B897B74357}" type="presParOf" srcId="{7B91C576-D610-43AD-8EB3-35FF3A5CBBB6}" destId="{D29CEB10-E6CD-4E42-AC44-ED3134E8664E}" srcOrd="5" destOrd="1" presId="urn:microsoft.com/office/officeart/2005/8/layout/orgChart1"/>
    <dgm:cxn modelId="{F46ECF8C-4013-4F91-9AAB-CDB8BD662392}" type="presParOf" srcId="{D29CEB10-E6CD-4E42-AC44-ED3134E8664E}" destId="{EA25CBE5-8442-47BE-9F85-B5FDF8494565}" srcOrd="0" destOrd="5" presId="urn:microsoft.com/office/officeart/2005/8/layout/orgChart1"/>
    <dgm:cxn modelId="{459D0773-7404-45A7-B80B-FBD0B9D13E3A}" type="presOf" srcId="{2B0643E3-D81E-433C-BA58-14D464B30F86}" destId="{EA25CBE5-8442-47BE-9F85-B5FDF8494565}" srcOrd="0" destOrd="0" presId="urn:microsoft.com/office/officeart/2005/8/layout/orgChart1"/>
    <dgm:cxn modelId="{E8F012B8-FABD-4C10-ACA0-D6D1B8987288}" type="presParOf" srcId="{EA25CBE5-8442-47BE-9F85-B5FDF8494565}" destId="{40CD5D42-5B77-4EBE-83E5-B648D27FF9EB}" srcOrd="0" destOrd="0" presId="urn:microsoft.com/office/officeart/2005/8/layout/orgChart1"/>
    <dgm:cxn modelId="{EC792E74-CD29-46BA-85A6-2072A5D245C9}" type="presOf" srcId="{2B0643E3-D81E-433C-BA58-14D464B30F86}" destId="{40CD5D42-5B77-4EBE-83E5-B648D27FF9EB}" srcOrd="0" destOrd="0" presId="urn:microsoft.com/office/officeart/2005/8/layout/orgChart1"/>
    <dgm:cxn modelId="{8055A14E-9E61-4215-8003-517BE6A3905B}" type="presParOf" srcId="{EA25CBE5-8442-47BE-9F85-B5FDF8494565}" destId="{D00D2145-D05A-4762-A643-8BA9FD1FEC55}" srcOrd="1" destOrd="0" presId="urn:microsoft.com/office/officeart/2005/8/layout/orgChart1"/>
    <dgm:cxn modelId="{780F6748-36AC-444A-B297-4EDA597F5D85}" type="presOf" srcId="{2B0643E3-D81E-433C-BA58-14D464B30F86}" destId="{D00D2145-D05A-4762-A643-8BA9FD1FEC55}" srcOrd="0" destOrd="0" presId="urn:microsoft.com/office/officeart/2005/8/layout/orgChart1"/>
    <dgm:cxn modelId="{63918667-8BCB-4F41-BBB2-31D4344AFB9B}" type="presParOf" srcId="{D29CEB10-E6CD-4E42-AC44-ED3134E8664E}" destId="{5809F6D0-77CF-430A-9089-E581980FDA6E}" srcOrd="1" destOrd="5" presId="urn:microsoft.com/office/officeart/2005/8/layout/orgChart1"/>
    <dgm:cxn modelId="{D9FC569C-AEF0-4898-A86A-B4990F45F26A}" type="presParOf" srcId="{D29CEB10-E6CD-4E42-AC44-ED3134E8664E}" destId="{A075EF52-7625-4C76-9343-5A7304C7E392}" srcOrd="2" destOrd="5" presId="urn:microsoft.com/office/officeart/2005/8/layout/orgChart1"/>
    <dgm:cxn modelId="{8A321B37-6295-48A9-80E6-166D55B0F591}" type="presParOf" srcId="{7B91C576-D610-43AD-8EB3-35FF3A5CBBB6}" destId="{90E16C01-F450-4854-894D-F9EF4750F958}" srcOrd="6" destOrd="1" presId="urn:microsoft.com/office/officeart/2005/8/layout/orgChart1"/>
    <dgm:cxn modelId="{7E01DB6D-8975-418D-8E28-D63F7B968FC9}" type="presOf" srcId="{67A2FA3C-A6F0-4A96-8164-12E34D41CA5F}" destId="{90E16C01-F450-4854-894D-F9EF4750F958}" srcOrd="0" destOrd="0" presId="urn:microsoft.com/office/officeart/2005/8/layout/orgChart1"/>
    <dgm:cxn modelId="{6DAA259E-F0A6-45D8-BC55-030CBCC6F49E}" type="presParOf" srcId="{7B91C576-D610-43AD-8EB3-35FF3A5CBBB6}" destId="{974EEA91-5F4F-4AEC-8965-CA1B7C2A8226}" srcOrd="7" destOrd="1" presId="urn:microsoft.com/office/officeart/2005/8/layout/orgChart1"/>
    <dgm:cxn modelId="{AAB2C596-79A3-4510-8E0D-3F71F40E6650}" type="presParOf" srcId="{974EEA91-5F4F-4AEC-8965-CA1B7C2A8226}" destId="{848C37B2-D5AC-4D38-A828-51F8E67999C1}" srcOrd="0" destOrd="7" presId="urn:microsoft.com/office/officeart/2005/8/layout/orgChart1"/>
    <dgm:cxn modelId="{668327C2-AEED-4C26-B857-C0C0C7DEADDE}" type="presOf" srcId="{2A8E8472-17AB-41E5-AE60-C60BCF854A33}" destId="{848C37B2-D5AC-4D38-A828-51F8E67999C1}" srcOrd="0" destOrd="0" presId="urn:microsoft.com/office/officeart/2005/8/layout/orgChart1"/>
    <dgm:cxn modelId="{4050FA5E-239B-4352-9976-AD959E6BAC4B}" type="presParOf" srcId="{848C37B2-D5AC-4D38-A828-51F8E67999C1}" destId="{B736FF56-42CE-406E-B027-B5690B6F2DFE}" srcOrd="0" destOrd="0" presId="urn:microsoft.com/office/officeart/2005/8/layout/orgChart1"/>
    <dgm:cxn modelId="{62B8EE37-D2CF-4CE8-ABC0-1024F1A4A8B3}" type="presOf" srcId="{2A8E8472-17AB-41E5-AE60-C60BCF854A33}" destId="{B736FF56-42CE-406E-B027-B5690B6F2DFE}" srcOrd="0" destOrd="0" presId="urn:microsoft.com/office/officeart/2005/8/layout/orgChart1"/>
    <dgm:cxn modelId="{E1095912-3E86-4646-865D-A739387665B1}" type="presParOf" srcId="{848C37B2-D5AC-4D38-A828-51F8E67999C1}" destId="{55DAA794-70CA-4E5C-BFF0-2BDA0A83739F}" srcOrd="1" destOrd="0" presId="urn:microsoft.com/office/officeart/2005/8/layout/orgChart1"/>
    <dgm:cxn modelId="{FA7C7A7F-0116-4F67-87E7-8CF3FB927AB8}" type="presOf" srcId="{2A8E8472-17AB-41E5-AE60-C60BCF854A33}" destId="{55DAA794-70CA-4E5C-BFF0-2BDA0A83739F}" srcOrd="0" destOrd="0" presId="urn:microsoft.com/office/officeart/2005/8/layout/orgChart1"/>
    <dgm:cxn modelId="{A381FAF5-BF3E-459F-BE17-2052B15B2B3C}" type="presParOf" srcId="{974EEA91-5F4F-4AEC-8965-CA1B7C2A8226}" destId="{8E1677BC-DDA4-4EF7-BEA1-55085B01ADB9}" srcOrd="1" destOrd="7" presId="urn:microsoft.com/office/officeart/2005/8/layout/orgChart1"/>
    <dgm:cxn modelId="{B40D2E51-5BBA-4D9E-B443-64B02FE2FF60}" type="presParOf" srcId="{974EEA91-5F4F-4AEC-8965-CA1B7C2A8226}" destId="{90842341-20A4-4AB0-BF4A-5DFA99393551}" srcOrd="2" destOrd="7" presId="urn:microsoft.com/office/officeart/2005/8/layout/orgChart1"/>
    <dgm:cxn modelId="{3FC2E750-819C-4E6A-BA6D-DDFB52AFC770}" type="presParOf" srcId="{7FD6360C-0E33-41A4-90A7-A35E10A7D7F7}" destId="{5C2596FC-0534-4A80-BA39-949156279F97}" srcOrd="2" destOrd="3" presId="urn:microsoft.com/office/officeart/2005/8/layout/orgChart1"/>
    <dgm:cxn modelId="{A9CA649C-D9B4-4F88-8AB2-7C6D2F3849AA}" type="presParOf" srcId="{2C53CBD9-3204-4A08-9117-610D9F6EBA68}" destId="{9859B975-C3E3-4787-A575-68C469FDA6E8}" srcOrd="4" destOrd="1" presId="urn:microsoft.com/office/officeart/2005/8/layout/orgChart1"/>
    <dgm:cxn modelId="{F1135C4A-B82C-453D-AE5F-4F881D742113}" type="presOf" srcId="{B3EF0C55-09EE-4553-9A78-C063CF4003D2}" destId="{9859B975-C3E3-4787-A575-68C469FDA6E8}" srcOrd="0" destOrd="0" presId="urn:microsoft.com/office/officeart/2005/8/layout/orgChart1"/>
    <dgm:cxn modelId="{F7725558-955E-454D-8A61-96FE2A4ED439}" type="presParOf" srcId="{2C53CBD9-3204-4A08-9117-610D9F6EBA68}" destId="{FB91E488-8565-4BE2-B091-74D059E212FB}" srcOrd="5" destOrd="1" presId="urn:microsoft.com/office/officeart/2005/8/layout/orgChart1"/>
    <dgm:cxn modelId="{83CBEEB4-8F8D-4838-A1D4-DC24D04150EF}" type="presParOf" srcId="{FB91E488-8565-4BE2-B091-74D059E212FB}" destId="{A771482F-E9EB-4CF5-841D-BE57D14971C9}" srcOrd="0" destOrd="5" presId="urn:microsoft.com/office/officeart/2005/8/layout/orgChart1"/>
    <dgm:cxn modelId="{1B6DDD6F-4B3A-47E9-B446-70389BB15833}" type="presOf" srcId="{5C13E2E2-B64F-4A4B-9E70-215690116FFC}" destId="{A771482F-E9EB-4CF5-841D-BE57D14971C9}" srcOrd="0" destOrd="0" presId="urn:microsoft.com/office/officeart/2005/8/layout/orgChart1"/>
    <dgm:cxn modelId="{91F27857-4E68-4E0A-85FA-C0D947BFF137}" type="presParOf" srcId="{A771482F-E9EB-4CF5-841D-BE57D14971C9}" destId="{B9E7D72C-33C2-4B1D-929A-35E1D242A886}" srcOrd="0" destOrd="0" presId="urn:microsoft.com/office/officeart/2005/8/layout/orgChart1"/>
    <dgm:cxn modelId="{E6F86274-FEF8-4415-B1C8-470E9454FE0F}" type="presOf" srcId="{5C13E2E2-B64F-4A4B-9E70-215690116FFC}" destId="{B9E7D72C-33C2-4B1D-929A-35E1D242A886}" srcOrd="0" destOrd="0" presId="urn:microsoft.com/office/officeart/2005/8/layout/orgChart1"/>
    <dgm:cxn modelId="{BEE68340-C346-4ADB-8745-2118AE83562B}" type="presParOf" srcId="{A771482F-E9EB-4CF5-841D-BE57D14971C9}" destId="{405D9E2B-352D-4E30-966E-2697B4D2E25D}" srcOrd="1" destOrd="0" presId="urn:microsoft.com/office/officeart/2005/8/layout/orgChart1"/>
    <dgm:cxn modelId="{15F126CD-288F-4390-99DD-8BC7CB32A34E}" type="presOf" srcId="{5C13E2E2-B64F-4A4B-9E70-215690116FFC}" destId="{405D9E2B-352D-4E30-966E-2697B4D2E25D}" srcOrd="0" destOrd="0" presId="urn:microsoft.com/office/officeart/2005/8/layout/orgChart1"/>
    <dgm:cxn modelId="{C9514310-8C2C-486A-960B-09B46E93A510}" type="presParOf" srcId="{FB91E488-8565-4BE2-B091-74D059E212FB}" destId="{103AFFF0-573C-4B00-B2A1-30688377897C}" srcOrd="1" destOrd="5" presId="urn:microsoft.com/office/officeart/2005/8/layout/orgChart1"/>
    <dgm:cxn modelId="{C4EE2E06-DF4B-4080-994F-0C5FD7F4AF0F}" type="presParOf" srcId="{103AFFF0-573C-4B00-B2A1-30688377897C}" destId="{B0C11891-9F0B-4B08-A374-E3D71C00DA32}" srcOrd="0" destOrd="1" presId="urn:microsoft.com/office/officeart/2005/8/layout/orgChart1"/>
    <dgm:cxn modelId="{1F7FFBD0-3555-4EA2-A846-D78AAF46B153}" type="presOf" srcId="{D244088B-E812-4429-A06B-BA69E3D7D7DB}" destId="{B0C11891-9F0B-4B08-A374-E3D71C00DA32}" srcOrd="0" destOrd="0" presId="urn:microsoft.com/office/officeart/2005/8/layout/orgChart1"/>
    <dgm:cxn modelId="{424DA4B3-D3FA-4E36-B18C-341D637B7E76}" type="presParOf" srcId="{103AFFF0-573C-4B00-B2A1-30688377897C}" destId="{ABD33B36-4A00-4E66-A95E-87F774E0B204}" srcOrd="1" destOrd="1" presId="urn:microsoft.com/office/officeart/2005/8/layout/orgChart1"/>
    <dgm:cxn modelId="{C99CA718-D841-47B0-AF7B-570A03723708}" type="presParOf" srcId="{ABD33B36-4A00-4E66-A95E-87F774E0B204}" destId="{B42A9D36-E732-4EA3-AB24-CE47F45A57A7}" srcOrd="0" destOrd="1" presId="urn:microsoft.com/office/officeart/2005/8/layout/orgChart1"/>
    <dgm:cxn modelId="{D36AA93B-5090-4916-A5E4-18894D1847A8}" type="presOf" srcId="{23C79603-CBBF-4ECF-B3F3-CA855FEB8AAE}" destId="{B42A9D36-E732-4EA3-AB24-CE47F45A57A7}" srcOrd="0" destOrd="0" presId="urn:microsoft.com/office/officeart/2005/8/layout/orgChart1"/>
    <dgm:cxn modelId="{4EC70BAA-0FCC-4F7C-885A-54EA7DDFF0B9}" type="presParOf" srcId="{B42A9D36-E732-4EA3-AB24-CE47F45A57A7}" destId="{B35B765B-4B6F-4BDF-8765-9A8AE3DF0D49}" srcOrd="0" destOrd="0" presId="urn:microsoft.com/office/officeart/2005/8/layout/orgChart1"/>
    <dgm:cxn modelId="{258ABEBB-46C9-44B5-94B2-EF55B02B7CA2}" type="presOf" srcId="{23C79603-CBBF-4ECF-B3F3-CA855FEB8AAE}" destId="{B35B765B-4B6F-4BDF-8765-9A8AE3DF0D49}" srcOrd="0" destOrd="0" presId="urn:microsoft.com/office/officeart/2005/8/layout/orgChart1"/>
    <dgm:cxn modelId="{45F58C0A-18A4-42FD-9FCC-49FFF2F15080}" type="presParOf" srcId="{B42A9D36-E732-4EA3-AB24-CE47F45A57A7}" destId="{0639412E-34B9-4F81-A709-A92248CCD4EB}" srcOrd="1" destOrd="0" presId="urn:microsoft.com/office/officeart/2005/8/layout/orgChart1"/>
    <dgm:cxn modelId="{D3134898-02CF-4492-8F01-03F6DFBCDDBA}" type="presOf" srcId="{23C79603-CBBF-4ECF-B3F3-CA855FEB8AAE}" destId="{0639412E-34B9-4F81-A709-A92248CCD4EB}" srcOrd="0" destOrd="0" presId="urn:microsoft.com/office/officeart/2005/8/layout/orgChart1"/>
    <dgm:cxn modelId="{9A69C8A5-5FAE-404F-A71E-F82C26303BF3}" type="presParOf" srcId="{ABD33B36-4A00-4E66-A95E-87F774E0B204}" destId="{979B3B73-6D6C-40E0-8435-5BC122AC0A7E}" srcOrd="1" destOrd="1" presId="urn:microsoft.com/office/officeart/2005/8/layout/orgChart1"/>
    <dgm:cxn modelId="{8DBF0F94-7A6D-4F11-BB8C-FA9AB17EFCEF}" type="presParOf" srcId="{ABD33B36-4A00-4E66-A95E-87F774E0B204}" destId="{A0186763-7E92-4365-8D04-3FF4B9316C4F}" srcOrd="2" destOrd="1" presId="urn:microsoft.com/office/officeart/2005/8/layout/orgChart1"/>
    <dgm:cxn modelId="{3CCB369B-16D2-4150-955A-DD97BA1E440A}" type="presParOf" srcId="{103AFFF0-573C-4B00-B2A1-30688377897C}" destId="{AC95B2D0-191C-4B01-9E27-48F632C3E280}" srcOrd="2" destOrd="1" presId="urn:microsoft.com/office/officeart/2005/8/layout/orgChart1"/>
    <dgm:cxn modelId="{FF410857-7E3E-4ACE-9568-DBB36C701388}" type="presOf" srcId="{835B12FE-6D8D-4F44-8393-BA2C37D5EAC9}" destId="{AC95B2D0-191C-4B01-9E27-48F632C3E280}" srcOrd="0" destOrd="0" presId="urn:microsoft.com/office/officeart/2005/8/layout/orgChart1"/>
    <dgm:cxn modelId="{988EA9C5-0FA9-479D-9618-1A5A0207836F}" type="presParOf" srcId="{103AFFF0-573C-4B00-B2A1-30688377897C}" destId="{07B40B93-90B9-4299-B156-6751AE61AD77}" srcOrd="3" destOrd="1" presId="urn:microsoft.com/office/officeart/2005/8/layout/orgChart1"/>
    <dgm:cxn modelId="{61B04C39-4E0A-41E3-8309-E95A96FC6E11}" type="presParOf" srcId="{07B40B93-90B9-4299-B156-6751AE61AD77}" destId="{7CDFBE19-D7D7-4FCF-8AB4-875462A64FCD}" srcOrd="0" destOrd="3" presId="urn:microsoft.com/office/officeart/2005/8/layout/orgChart1"/>
    <dgm:cxn modelId="{F04CAFCA-FEC4-44E0-907E-2DD6696B1734}" type="presOf" srcId="{C526B16B-0C53-49D0-852F-8926272693BE}" destId="{7CDFBE19-D7D7-4FCF-8AB4-875462A64FCD}" srcOrd="0" destOrd="0" presId="urn:microsoft.com/office/officeart/2005/8/layout/orgChart1"/>
    <dgm:cxn modelId="{CA313EB4-0A9D-4E6B-9DF6-E4AA2B10E695}" type="presParOf" srcId="{7CDFBE19-D7D7-4FCF-8AB4-875462A64FCD}" destId="{F7EBC6BD-0EC4-4268-805C-7A542935144F}" srcOrd="0" destOrd="0" presId="urn:microsoft.com/office/officeart/2005/8/layout/orgChart1"/>
    <dgm:cxn modelId="{4DA42FEC-6F8E-45C3-A55C-3649BD4921BE}" type="presOf" srcId="{C526B16B-0C53-49D0-852F-8926272693BE}" destId="{F7EBC6BD-0EC4-4268-805C-7A542935144F}" srcOrd="0" destOrd="0" presId="urn:microsoft.com/office/officeart/2005/8/layout/orgChart1"/>
    <dgm:cxn modelId="{046FF235-87AA-4611-9FAF-58A6EC68400C}" type="presParOf" srcId="{7CDFBE19-D7D7-4FCF-8AB4-875462A64FCD}" destId="{ACD07E4D-E9E5-4A28-9B43-75BFC230A50C}" srcOrd="1" destOrd="0" presId="urn:microsoft.com/office/officeart/2005/8/layout/orgChart1"/>
    <dgm:cxn modelId="{373549CC-EFCE-480F-A549-CC9C345E3E2A}" type="presOf" srcId="{C526B16B-0C53-49D0-852F-8926272693BE}" destId="{ACD07E4D-E9E5-4A28-9B43-75BFC230A50C}" srcOrd="0" destOrd="0" presId="urn:microsoft.com/office/officeart/2005/8/layout/orgChart1"/>
    <dgm:cxn modelId="{3E120793-2A20-448E-9949-BAC6098143CE}" type="presParOf" srcId="{07B40B93-90B9-4299-B156-6751AE61AD77}" destId="{9D62EAEC-8FC6-4A64-92F6-5EADD5F2105C}" srcOrd="1" destOrd="3" presId="urn:microsoft.com/office/officeart/2005/8/layout/orgChart1"/>
    <dgm:cxn modelId="{EA4A5A3D-D842-486B-808A-74641784C8B5}" type="presParOf" srcId="{07B40B93-90B9-4299-B156-6751AE61AD77}" destId="{7375F89B-2974-4884-A422-648FA608B703}" srcOrd="2" destOrd="3" presId="urn:microsoft.com/office/officeart/2005/8/layout/orgChart1"/>
    <dgm:cxn modelId="{0D2C6574-D4C0-4CD6-882D-76C3BBEC79F3}" type="presParOf" srcId="{103AFFF0-573C-4B00-B2A1-30688377897C}" destId="{A4A6F7BB-C54F-4E61-8B56-930D1C23F09C}" srcOrd="4" destOrd="1" presId="urn:microsoft.com/office/officeart/2005/8/layout/orgChart1"/>
    <dgm:cxn modelId="{38058FD6-BEDE-4764-90D1-18071FC8E49E}" type="presOf" srcId="{21032C37-A787-4246-99C1-D50A3B573A67}" destId="{A4A6F7BB-C54F-4E61-8B56-930D1C23F09C}" srcOrd="0" destOrd="0" presId="urn:microsoft.com/office/officeart/2005/8/layout/orgChart1"/>
    <dgm:cxn modelId="{1D97E424-6C8F-46A8-B8CF-423D38AF3BC2}" type="presParOf" srcId="{103AFFF0-573C-4B00-B2A1-30688377897C}" destId="{EBE25044-7C1B-462C-BAA7-6DACD1613CD2}" srcOrd="5" destOrd="1" presId="urn:microsoft.com/office/officeart/2005/8/layout/orgChart1"/>
    <dgm:cxn modelId="{478E10D8-2F24-455D-94A3-9686D1F4AD14}" type="presParOf" srcId="{EBE25044-7C1B-462C-BAA7-6DACD1613CD2}" destId="{1C66689F-D670-4FB6-9BC0-53685349EEA3}" srcOrd="0" destOrd="5" presId="urn:microsoft.com/office/officeart/2005/8/layout/orgChart1"/>
    <dgm:cxn modelId="{6CE534B9-46E0-49DF-A2D5-180000C493C9}" type="presOf" srcId="{AE8C1470-58EC-4623-B6E5-62A0A4107667}" destId="{1C66689F-D670-4FB6-9BC0-53685349EEA3}" srcOrd="0" destOrd="0" presId="urn:microsoft.com/office/officeart/2005/8/layout/orgChart1"/>
    <dgm:cxn modelId="{E96FD98A-3C20-432A-A26D-55B10BF657D8}" type="presParOf" srcId="{1C66689F-D670-4FB6-9BC0-53685349EEA3}" destId="{907EAB5F-A381-4273-B5F0-82B528919643}" srcOrd="0" destOrd="0" presId="urn:microsoft.com/office/officeart/2005/8/layout/orgChart1"/>
    <dgm:cxn modelId="{A99A5C91-82C6-4B5C-8C89-572355D8FBE6}" type="presOf" srcId="{AE8C1470-58EC-4623-B6E5-62A0A4107667}" destId="{907EAB5F-A381-4273-B5F0-82B528919643}" srcOrd="0" destOrd="0" presId="urn:microsoft.com/office/officeart/2005/8/layout/orgChart1"/>
    <dgm:cxn modelId="{487E6FA5-2626-426D-8682-B38FD1F17FF7}" type="presParOf" srcId="{1C66689F-D670-4FB6-9BC0-53685349EEA3}" destId="{711E74F1-EDF8-4796-931E-78C729E19E2E}" srcOrd="1" destOrd="0" presId="urn:microsoft.com/office/officeart/2005/8/layout/orgChart1"/>
    <dgm:cxn modelId="{A36F5808-D4E0-4B25-BDB8-8A497D15DC48}" type="presOf" srcId="{AE8C1470-58EC-4623-B6E5-62A0A4107667}" destId="{711E74F1-EDF8-4796-931E-78C729E19E2E}" srcOrd="0" destOrd="0" presId="urn:microsoft.com/office/officeart/2005/8/layout/orgChart1"/>
    <dgm:cxn modelId="{41044115-7F04-4A4A-B351-415C7F48B7B5}" type="presParOf" srcId="{EBE25044-7C1B-462C-BAA7-6DACD1613CD2}" destId="{BD2FDD68-7156-4A73-9E53-D284B289FF3C}" srcOrd="1" destOrd="5" presId="urn:microsoft.com/office/officeart/2005/8/layout/orgChart1"/>
    <dgm:cxn modelId="{6408B381-2AB7-45D5-B4EF-045B4015970D}" type="presParOf" srcId="{EBE25044-7C1B-462C-BAA7-6DACD1613CD2}" destId="{046D2F5E-32EE-4DC8-9DBE-43ADB2E79670}" srcOrd="2" destOrd="5" presId="urn:microsoft.com/office/officeart/2005/8/layout/orgChart1"/>
    <dgm:cxn modelId="{FF78EEF7-7157-4A0B-A8A3-34F2C100B7F9}" type="presParOf" srcId="{103AFFF0-573C-4B00-B2A1-30688377897C}" destId="{A3659D94-A069-4E9E-8832-229B01967FF3}" srcOrd="6" destOrd="1" presId="urn:microsoft.com/office/officeart/2005/8/layout/orgChart1"/>
    <dgm:cxn modelId="{AB120F4D-C70A-4587-BAD5-C0E7410C9F48}" type="presOf" srcId="{7088AF41-B12D-48EE-9986-994BE2152F62}" destId="{A3659D94-A069-4E9E-8832-229B01967FF3}" srcOrd="0" destOrd="0" presId="urn:microsoft.com/office/officeart/2005/8/layout/orgChart1"/>
    <dgm:cxn modelId="{F688F606-4E3C-476D-BAAD-6E592EA8CB58}" type="presParOf" srcId="{103AFFF0-573C-4B00-B2A1-30688377897C}" destId="{E2A0597B-E2AC-47FF-B6FD-F05CBD3BCCD9}" srcOrd="7" destOrd="1" presId="urn:microsoft.com/office/officeart/2005/8/layout/orgChart1"/>
    <dgm:cxn modelId="{D9E12516-B667-47D1-9537-E19765F60E11}" type="presParOf" srcId="{E2A0597B-E2AC-47FF-B6FD-F05CBD3BCCD9}" destId="{CFE7CBEC-38E3-4536-A887-5C1C5E0D14F4}" srcOrd="0" destOrd="7" presId="urn:microsoft.com/office/officeart/2005/8/layout/orgChart1"/>
    <dgm:cxn modelId="{FC540526-F688-4207-9B39-A62407460680}" type="presOf" srcId="{4B06801D-583C-4628-8B03-2C13DE2C7FA2}" destId="{CFE7CBEC-38E3-4536-A887-5C1C5E0D14F4}" srcOrd="0" destOrd="0" presId="urn:microsoft.com/office/officeart/2005/8/layout/orgChart1"/>
    <dgm:cxn modelId="{0B950C31-1FB3-4564-85A4-AAD209C41C51}" type="presParOf" srcId="{CFE7CBEC-38E3-4536-A887-5C1C5E0D14F4}" destId="{1330655A-85DD-4AB9-A744-BE05A47176EE}" srcOrd="0" destOrd="0" presId="urn:microsoft.com/office/officeart/2005/8/layout/orgChart1"/>
    <dgm:cxn modelId="{4A483DAE-F590-4918-A564-3B91824FED7B}" type="presOf" srcId="{4B06801D-583C-4628-8B03-2C13DE2C7FA2}" destId="{1330655A-85DD-4AB9-A744-BE05A47176EE}" srcOrd="0" destOrd="0" presId="urn:microsoft.com/office/officeart/2005/8/layout/orgChart1"/>
    <dgm:cxn modelId="{CBE1ABF6-5C6C-4703-8681-80DE9EA9D127}" type="presParOf" srcId="{CFE7CBEC-38E3-4536-A887-5C1C5E0D14F4}" destId="{7532331F-5525-46E9-B0B9-182CF481C001}" srcOrd="1" destOrd="0" presId="urn:microsoft.com/office/officeart/2005/8/layout/orgChart1"/>
    <dgm:cxn modelId="{06F9568A-CB33-4807-95E2-B3E82D92B18A}" type="presOf" srcId="{4B06801D-583C-4628-8B03-2C13DE2C7FA2}" destId="{7532331F-5525-46E9-B0B9-182CF481C001}" srcOrd="0" destOrd="0" presId="urn:microsoft.com/office/officeart/2005/8/layout/orgChart1"/>
    <dgm:cxn modelId="{FBCB6336-FB48-4624-A43B-834817E0F4EB}" type="presParOf" srcId="{E2A0597B-E2AC-47FF-B6FD-F05CBD3BCCD9}" destId="{B30E010D-E7DE-4489-A7D2-C41E6434FA0E}" srcOrd="1" destOrd="7" presId="urn:microsoft.com/office/officeart/2005/8/layout/orgChart1"/>
    <dgm:cxn modelId="{6F56588C-BB20-432C-A1B7-266F3733724F}" type="presParOf" srcId="{E2A0597B-E2AC-47FF-B6FD-F05CBD3BCCD9}" destId="{57E8A033-D966-43DB-BF14-0D583E2A1213}" srcOrd="2" destOrd="7" presId="urn:microsoft.com/office/officeart/2005/8/layout/orgChart1"/>
    <dgm:cxn modelId="{34046CAD-DD8D-4D09-B364-E505708FF3BE}" type="presParOf" srcId="{FB91E488-8565-4BE2-B091-74D059E212FB}" destId="{6EE51831-7E41-434B-9D4A-4B18556FBF1F}" srcOrd="2" destOrd="5" presId="urn:microsoft.com/office/officeart/2005/8/layout/orgChart1"/>
    <dgm:cxn modelId="{16A24561-52B5-4DE0-B04D-726B6C1601A7}" type="presParOf" srcId="{685E80A3-B0B1-4B41-ADE2-794D43D59315}" destId="{42223BB3-74E2-412F-BD5F-08B4F4488D66}" srcOrd="2" destOrd="0" presId="urn:microsoft.com/office/officeart/2005/8/layout/orgChar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659D94-A069-4E9E-8832-229B01967FF3}">
      <dsp:nvSpPr>
        <dsp:cNvPr id="0" name=""/>
        <dsp:cNvSpPr/>
      </dsp:nvSpPr>
      <dsp:spPr>
        <a:xfrm>
          <a:off x="4282056" y="990531"/>
          <a:ext cx="800688" cy="151937"/>
        </a:xfrm>
        <a:custGeom>
          <a:avLst/>
          <a:gdLst/>
          <a:ahLst/>
          <a:cxnLst/>
          <a:rect l="0" t="0" r="0" b="0"/>
          <a:pathLst>
            <a:path>
              <a:moveTo>
                <a:pt x="0" y="0"/>
              </a:moveTo>
              <a:lnTo>
                <a:pt x="0" y="75968"/>
              </a:lnTo>
              <a:lnTo>
                <a:pt x="800688" y="75968"/>
              </a:lnTo>
              <a:lnTo>
                <a:pt x="800688" y="151937"/>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A6F7BB-C54F-4E61-8B56-930D1C23F09C}">
      <dsp:nvSpPr>
        <dsp:cNvPr id="0" name=""/>
        <dsp:cNvSpPr/>
      </dsp:nvSpPr>
      <dsp:spPr>
        <a:xfrm>
          <a:off x="4282056" y="990531"/>
          <a:ext cx="266896" cy="151937"/>
        </a:xfrm>
        <a:custGeom>
          <a:avLst/>
          <a:gdLst/>
          <a:ahLst/>
          <a:cxnLst/>
          <a:rect l="0" t="0" r="0" b="0"/>
          <a:pathLst>
            <a:path>
              <a:moveTo>
                <a:pt x="0" y="0"/>
              </a:moveTo>
              <a:lnTo>
                <a:pt x="0" y="75968"/>
              </a:lnTo>
              <a:lnTo>
                <a:pt x="266896" y="75968"/>
              </a:lnTo>
              <a:lnTo>
                <a:pt x="266896" y="151937"/>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95B2D0-191C-4B01-9E27-48F632C3E280}">
      <dsp:nvSpPr>
        <dsp:cNvPr id="0" name=""/>
        <dsp:cNvSpPr/>
      </dsp:nvSpPr>
      <dsp:spPr>
        <a:xfrm>
          <a:off x="4015160" y="990531"/>
          <a:ext cx="266896" cy="151937"/>
        </a:xfrm>
        <a:custGeom>
          <a:avLst/>
          <a:gdLst/>
          <a:ahLst/>
          <a:cxnLst/>
          <a:rect l="0" t="0" r="0" b="0"/>
          <a:pathLst>
            <a:path>
              <a:moveTo>
                <a:pt x="266896" y="0"/>
              </a:moveTo>
              <a:lnTo>
                <a:pt x="266896" y="75968"/>
              </a:lnTo>
              <a:lnTo>
                <a:pt x="0" y="75968"/>
              </a:lnTo>
              <a:lnTo>
                <a:pt x="0" y="151937"/>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C11891-9F0B-4B08-A374-E3D71C00DA32}">
      <dsp:nvSpPr>
        <dsp:cNvPr id="0" name=""/>
        <dsp:cNvSpPr/>
      </dsp:nvSpPr>
      <dsp:spPr>
        <a:xfrm>
          <a:off x="3481368" y="990531"/>
          <a:ext cx="800688" cy="151937"/>
        </a:xfrm>
        <a:custGeom>
          <a:avLst/>
          <a:gdLst/>
          <a:ahLst/>
          <a:cxnLst/>
          <a:rect l="0" t="0" r="0" b="0"/>
          <a:pathLst>
            <a:path>
              <a:moveTo>
                <a:pt x="800688" y="0"/>
              </a:moveTo>
              <a:lnTo>
                <a:pt x="800688" y="75968"/>
              </a:lnTo>
              <a:lnTo>
                <a:pt x="0" y="75968"/>
              </a:lnTo>
              <a:lnTo>
                <a:pt x="0" y="151937"/>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59B975-C3E3-4787-A575-68C469FDA6E8}">
      <dsp:nvSpPr>
        <dsp:cNvPr id="0" name=""/>
        <dsp:cNvSpPr/>
      </dsp:nvSpPr>
      <dsp:spPr>
        <a:xfrm>
          <a:off x="2423626" y="476838"/>
          <a:ext cx="1858429" cy="151937"/>
        </a:xfrm>
        <a:custGeom>
          <a:avLst/>
          <a:gdLst/>
          <a:ahLst/>
          <a:cxnLst/>
          <a:rect l="0" t="0" r="0" b="0"/>
          <a:pathLst>
            <a:path>
              <a:moveTo>
                <a:pt x="0" y="0"/>
              </a:moveTo>
              <a:lnTo>
                <a:pt x="0" y="75968"/>
              </a:lnTo>
              <a:lnTo>
                <a:pt x="1858429" y="75968"/>
              </a:lnTo>
              <a:lnTo>
                <a:pt x="1858429" y="15193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E16C01-F450-4854-894D-F9EF4750F958}">
      <dsp:nvSpPr>
        <dsp:cNvPr id="0" name=""/>
        <dsp:cNvSpPr/>
      </dsp:nvSpPr>
      <dsp:spPr>
        <a:xfrm>
          <a:off x="2165192" y="990531"/>
          <a:ext cx="786959" cy="151937"/>
        </a:xfrm>
        <a:custGeom>
          <a:avLst/>
          <a:gdLst/>
          <a:ahLst/>
          <a:cxnLst/>
          <a:rect l="0" t="0" r="0" b="0"/>
          <a:pathLst>
            <a:path>
              <a:moveTo>
                <a:pt x="0" y="0"/>
              </a:moveTo>
              <a:lnTo>
                <a:pt x="0" y="75968"/>
              </a:lnTo>
              <a:lnTo>
                <a:pt x="786959" y="75968"/>
              </a:lnTo>
              <a:lnTo>
                <a:pt x="786959" y="151937"/>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47BAEC-8171-4847-9B28-B9CA62FF1C97}">
      <dsp:nvSpPr>
        <dsp:cNvPr id="0" name=""/>
        <dsp:cNvSpPr/>
      </dsp:nvSpPr>
      <dsp:spPr>
        <a:xfrm>
          <a:off x="2165192" y="990531"/>
          <a:ext cx="262319" cy="151937"/>
        </a:xfrm>
        <a:custGeom>
          <a:avLst/>
          <a:gdLst/>
          <a:ahLst/>
          <a:cxnLst/>
          <a:rect l="0" t="0" r="0" b="0"/>
          <a:pathLst>
            <a:path>
              <a:moveTo>
                <a:pt x="0" y="0"/>
              </a:moveTo>
              <a:lnTo>
                <a:pt x="0" y="75968"/>
              </a:lnTo>
              <a:lnTo>
                <a:pt x="262319" y="75968"/>
              </a:lnTo>
              <a:lnTo>
                <a:pt x="262319" y="151937"/>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777006-DD5D-4456-9B3F-B1B2D90D996D}">
      <dsp:nvSpPr>
        <dsp:cNvPr id="0" name=""/>
        <dsp:cNvSpPr/>
      </dsp:nvSpPr>
      <dsp:spPr>
        <a:xfrm>
          <a:off x="1902872" y="990531"/>
          <a:ext cx="262319" cy="151937"/>
        </a:xfrm>
        <a:custGeom>
          <a:avLst/>
          <a:gdLst/>
          <a:ahLst/>
          <a:cxnLst/>
          <a:rect l="0" t="0" r="0" b="0"/>
          <a:pathLst>
            <a:path>
              <a:moveTo>
                <a:pt x="262319" y="0"/>
              </a:moveTo>
              <a:lnTo>
                <a:pt x="262319" y="75968"/>
              </a:lnTo>
              <a:lnTo>
                <a:pt x="0" y="75968"/>
              </a:lnTo>
              <a:lnTo>
                <a:pt x="0" y="151937"/>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241276-15B0-4638-B68D-DF3601429A3E}">
      <dsp:nvSpPr>
        <dsp:cNvPr id="0" name=""/>
        <dsp:cNvSpPr/>
      </dsp:nvSpPr>
      <dsp:spPr>
        <a:xfrm>
          <a:off x="1378232" y="990531"/>
          <a:ext cx="786959" cy="151937"/>
        </a:xfrm>
        <a:custGeom>
          <a:avLst/>
          <a:gdLst/>
          <a:ahLst/>
          <a:cxnLst/>
          <a:rect l="0" t="0" r="0" b="0"/>
          <a:pathLst>
            <a:path>
              <a:moveTo>
                <a:pt x="786959" y="0"/>
              </a:moveTo>
              <a:lnTo>
                <a:pt x="786959" y="75968"/>
              </a:lnTo>
              <a:lnTo>
                <a:pt x="0" y="75968"/>
              </a:lnTo>
              <a:lnTo>
                <a:pt x="0" y="151937"/>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C6CC53-C775-4DC8-B557-3C44E6A2AAD9}">
      <dsp:nvSpPr>
        <dsp:cNvPr id="0" name=""/>
        <dsp:cNvSpPr/>
      </dsp:nvSpPr>
      <dsp:spPr>
        <a:xfrm>
          <a:off x="2165192" y="476838"/>
          <a:ext cx="258434" cy="151937"/>
        </a:xfrm>
        <a:custGeom>
          <a:avLst/>
          <a:gdLst/>
          <a:ahLst/>
          <a:cxnLst/>
          <a:rect l="0" t="0" r="0" b="0"/>
          <a:pathLst>
            <a:path>
              <a:moveTo>
                <a:pt x="258434" y="0"/>
              </a:moveTo>
              <a:lnTo>
                <a:pt x="258434" y="75968"/>
              </a:lnTo>
              <a:lnTo>
                <a:pt x="0" y="75968"/>
              </a:lnTo>
              <a:lnTo>
                <a:pt x="0" y="15193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CB8872-DC44-4B78-A940-A045F98366B2}">
      <dsp:nvSpPr>
        <dsp:cNvPr id="0" name=""/>
        <dsp:cNvSpPr/>
      </dsp:nvSpPr>
      <dsp:spPr>
        <a:xfrm>
          <a:off x="574367" y="990531"/>
          <a:ext cx="276627" cy="151937"/>
        </a:xfrm>
        <a:custGeom>
          <a:avLst/>
          <a:gdLst/>
          <a:ahLst/>
          <a:cxnLst/>
          <a:rect l="0" t="0" r="0" b="0"/>
          <a:pathLst>
            <a:path>
              <a:moveTo>
                <a:pt x="0" y="0"/>
              </a:moveTo>
              <a:lnTo>
                <a:pt x="0" y="75968"/>
              </a:lnTo>
              <a:lnTo>
                <a:pt x="276627" y="75968"/>
              </a:lnTo>
              <a:lnTo>
                <a:pt x="276627" y="151937"/>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0AD264-3580-44AF-A46B-E762F0D0EE0F}">
      <dsp:nvSpPr>
        <dsp:cNvPr id="0" name=""/>
        <dsp:cNvSpPr/>
      </dsp:nvSpPr>
      <dsp:spPr>
        <a:xfrm>
          <a:off x="309450" y="990531"/>
          <a:ext cx="264917" cy="151937"/>
        </a:xfrm>
        <a:custGeom>
          <a:avLst/>
          <a:gdLst/>
          <a:ahLst/>
          <a:cxnLst/>
          <a:rect l="0" t="0" r="0" b="0"/>
          <a:pathLst>
            <a:path>
              <a:moveTo>
                <a:pt x="264917" y="0"/>
              </a:moveTo>
              <a:lnTo>
                <a:pt x="264917" y="75968"/>
              </a:lnTo>
              <a:lnTo>
                <a:pt x="0" y="75968"/>
              </a:lnTo>
              <a:lnTo>
                <a:pt x="0" y="151937"/>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A821D6-01E7-4CB9-9E9A-A8EDE244B9EA}">
      <dsp:nvSpPr>
        <dsp:cNvPr id="0" name=""/>
        <dsp:cNvSpPr/>
      </dsp:nvSpPr>
      <dsp:spPr>
        <a:xfrm>
          <a:off x="574367" y="476838"/>
          <a:ext cx="1849259" cy="151937"/>
        </a:xfrm>
        <a:custGeom>
          <a:avLst/>
          <a:gdLst/>
          <a:ahLst/>
          <a:cxnLst/>
          <a:rect l="0" t="0" r="0" b="0"/>
          <a:pathLst>
            <a:path>
              <a:moveTo>
                <a:pt x="1849259" y="0"/>
              </a:moveTo>
              <a:lnTo>
                <a:pt x="1849259" y="75968"/>
              </a:lnTo>
              <a:lnTo>
                <a:pt x="0" y="75968"/>
              </a:lnTo>
              <a:lnTo>
                <a:pt x="0" y="15193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ECAC57-255B-471A-B679-5DC391D98EE9}">
      <dsp:nvSpPr>
        <dsp:cNvPr id="0" name=""/>
        <dsp:cNvSpPr/>
      </dsp:nvSpPr>
      <dsp:spPr>
        <a:xfrm>
          <a:off x="1867933" y="115082"/>
          <a:ext cx="1111385" cy="36175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zh-CN" altLang="en-US" sz="1800" b="0" kern="1200"/>
            <a:t>磁性课程</a:t>
          </a:r>
        </a:p>
      </dsp:txBody>
      <dsp:txXfrm>
        <a:off x="1867933" y="115082"/>
        <a:ext cx="1111385" cy="361755"/>
      </dsp:txXfrm>
    </dsp:sp>
    <dsp:sp modelId="{28A19E53-F2CD-4723-8544-F2E2343EE3A1}">
      <dsp:nvSpPr>
        <dsp:cNvPr id="0" name=""/>
        <dsp:cNvSpPr/>
      </dsp:nvSpPr>
      <dsp:spPr>
        <a:xfrm>
          <a:off x="637" y="628775"/>
          <a:ext cx="1147460" cy="36175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zh-CN" altLang="en-US" sz="1400" b="0" kern="1200"/>
            <a:t>学科特色课程</a:t>
          </a:r>
        </a:p>
      </dsp:txBody>
      <dsp:txXfrm>
        <a:off x="637" y="628775"/>
        <a:ext cx="1147460" cy="361755"/>
      </dsp:txXfrm>
    </dsp:sp>
    <dsp:sp modelId="{E006F6CD-0BF1-4197-80A4-B4094E608F95}">
      <dsp:nvSpPr>
        <dsp:cNvPr id="0" name=""/>
        <dsp:cNvSpPr/>
      </dsp:nvSpPr>
      <dsp:spPr>
        <a:xfrm>
          <a:off x="108791" y="1142468"/>
          <a:ext cx="401317" cy="1816581"/>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zh-CN" altLang="en-US" sz="1400" b="0" kern="1200"/>
            <a:t>学科基础课程</a:t>
          </a:r>
        </a:p>
      </dsp:txBody>
      <dsp:txXfrm>
        <a:off x="108791" y="1142468"/>
        <a:ext cx="401317" cy="1816581"/>
      </dsp:txXfrm>
    </dsp:sp>
    <dsp:sp modelId="{5E29108F-15B1-4810-9A1C-084D231B4CAE}">
      <dsp:nvSpPr>
        <dsp:cNvPr id="0" name=""/>
        <dsp:cNvSpPr/>
      </dsp:nvSpPr>
      <dsp:spPr>
        <a:xfrm>
          <a:off x="662046" y="1142468"/>
          <a:ext cx="377897" cy="1816581"/>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zh-CN" altLang="en-US" sz="1400" b="0" kern="1200"/>
            <a:t>学科特色课程</a:t>
          </a:r>
        </a:p>
      </dsp:txBody>
      <dsp:txXfrm>
        <a:off x="662046" y="1142468"/>
        <a:ext cx="377897" cy="1816581"/>
      </dsp:txXfrm>
    </dsp:sp>
    <dsp:sp modelId="{0F71DB70-C849-42BA-8766-4C4B7EFD19D6}">
      <dsp:nvSpPr>
        <dsp:cNvPr id="0" name=""/>
        <dsp:cNvSpPr/>
      </dsp:nvSpPr>
      <dsp:spPr>
        <a:xfrm>
          <a:off x="1595842" y="628775"/>
          <a:ext cx="1138698" cy="36175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zh-CN" altLang="en-US" sz="1400" b="0" kern="1200"/>
            <a:t>实践体验课程</a:t>
          </a:r>
        </a:p>
      </dsp:txBody>
      <dsp:txXfrm>
        <a:off x="1595842" y="628775"/>
        <a:ext cx="1138698" cy="361755"/>
      </dsp:txXfrm>
    </dsp:sp>
    <dsp:sp modelId="{5F75827B-255C-4669-AD05-E9963127A9E6}">
      <dsp:nvSpPr>
        <dsp:cNvPr id="0" name=""/>
        <dsp:cNvSpPr/>
      </dsp:nvSpPr>
      <dsp:spPr>
        <a:xfrm>
          <a:off x="1191881" y="1142468"/>
          <a:ext cx="372702" cy="1819023"/>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zh-CN" altLang="en-US" sz="1400" b="0" kern="1200"/>
            <a:t>节庆教育</a:t>
          </a:r>
        </a:p>
      </dsp:txBody>
      <dsp:txXfrm>
        <a:off x="1191881" y="1142468"/>
        <a:ext cx="372702" cy="1819023"/>
      </dsp:txXfrm>
    </dsp:sp>
    <dsp:sp modelId="{9CBBC8D4-2F52-4F09-8780-1D2EE7E363E6}">
      <dsp:nvSpPr>
        <dsp:cNvPr id="0" name=""/>
        <dsp:cNvSpPr/>
      </dsp:nvSpPr>
      <dsp:spPr>
        <a:xfrm>
          <a:off x="1716521" y="1142468"/>
          <a:ext cx="372702" cy="1819023"/>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zh-CN" altLang="en-US" sz="1400" b="0" kern="1200"/>
            <a:t>仪式教育</a:t>
          </a:r>
        </a:p>
      </dsp:txBody>
      <dsp:txXfrm>
        <a:off x="1716521" y="1142468"/>
        <a:ext cx="372702" cy="1819023"/>
      </dsp:txXfrm>
    </dsp:sp>
    <dsp:sp modelId="{40CD5D42-5B77-4EBE-83E5-B648D27FF9EB}">
      <dsp:nvSpPr>
        <dsp:cNvPr id="0" name=""/>
        <dsp:cNvSpPr/>
      </dsp:nvSpPr>
      <dsp:spPr>
        <a:xfrm>
          <a:off x="2241160" y="1142468"/>
          <a:ext cx="372702" cy="1819023"/>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zh-CN" altLang="en-US" sz="1400" b="0" kern="1200"/>
            <a:t>主题教育</a:t>
          </a:r>
        </a:p>
      </dsp:txBody>
      <dsp:txXfrm>
        <a:off x="2241160" y="1142468"/>
        <a:ext cx="372702" cy="1819023"/>
      </dsp:txXfrm>
    </dsp:sp>
    <dsp:sp modelId="{B736FF56-42CE-406E-B027-B5690B6F2DFE}">
      <dsp:nvSpPr>
        <dsp:cNvPr id="0" name=""/>
        <dsp:cNvSpPr/>
      </dsp:nvSpPr>
      <dsp:spPr>
        <a:xfrm>
          <a:off x="2765800" y="1142468"/>
          <a:ext cx="372702" cy="1819023"/>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zh-CN" altLang="en-US" sz="1400" b="0" kern="1200"/>
            <a:t>责任教育</a:t>
          </a:r>
        </a:p>
      </dsp:txBody>
      <dsp:txXfrm>
        <a:off x="2765800" y="1142468"/>
        <a:ext cx="372702" cy="1819023"/>
      </dsp:txXfrm>
    </dsp:sp>
    <dsp:sp modelId="{B9E7D72C-33C2-4B1D-929A-35E1D242A886}">
      <dsp:nvSpPr>
        <dsp:cNvPr id="0" name=""/>
        <dsp:cNvSpPr/>
      </dsp:nvSpPr>
      <dsp:spPr>
        <a:xfrm>
          <a:off x="3717496" y="628775"/>
          <a:ext cx="1129119" cy="36175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zh-CN" altLang="en-US" sz="1400" b="0" kern="1200"/>
            <a:t>专题聚焦课程</a:t>
          </a:r>
        </a:p>
      </dsp:txBody>
      <dsp:txXfrm>
        <a:off x="3717496" y="628775"/>
        <a:ext cx="1129119" cy="361755"/>
      </dsp:txXfrm>
    </dsp:sp>
    <dsp:sp modelId="{B35B765B-4B6F-4BDF-8765-9A8AE3DF0D49}">
      <dsp:nvSpPr>
        <dsp:cNvPr id="0" name=""/>
        <dsp:cNvSpPr/>
      </dsp:nvSpPr>
      <dsp:spPr>
        <a:xfrm>
          <a:off x="3290440" y="1142468"/>
          <a:ext cx="381854" cy="1815876"/>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zh-CN" altLang="en-US" sz="1400" b="0" kern="1200"/>
            <a:t>道德品质奠基课程</a:t>
          </a:r>
        </a:p>
      </dsp:txBody>
      <dsp:txXfrm>
        <a:off x="3290440" y="1142468"/>
        <a:ext cx="381854" cy="1815876"/>
      </dsp:txXfrm>
    </dsp:sp>
    <dsp:sp modelId="{F7EBC6BD-0EC4-4268-805C-7A542935144F}">
      <dsp:nvSpPr>
        <dsp:cNvPr id="0" name=""/>
        <dsp:cNvSpPr/>
      </dsp:nvSpPr>
      <dsp:spPr>
        <a:xfrm>
          <a:off x="3824232" y="1142468"/>
          <a:ext cx="381854" cy="1815876"/>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zh-CN" altLang="en-US" sz="1400" b="0" kern="1200"/>
            <a:t>学习品质奠基课程</a:t>
          </a:r>
        </a:p>
      </dsp:txBody>
      <dsp:txXfrm>
        <a:off x="3824232" y="1142468"/>
        <a:ext cx="381854" cy="1815876"/>
      </dsp:txXfrm>
    </dsp:sp>
    <dsp:sp modelId="{907EAB5F-A381-4273-B5F0-82B528919643}">
      <dsp:nvSpPr>
        <dsp:cNvPr id="0" name=""/>
        <dsp:cNvSpPr/>
      </dsp:nvSpPr>
      <dsp:spPr>
        <a:xfrm>
          <a:off x="4358025" y="1142468"/>
          <a:ext cx="381854" cy="1815876"/>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zh-CN" altLang="en-US" sz="1400" b="0" kern="1200"/>
            <a:t>生活品质奠基课程</a:t>
          </a:r>
        </a:p>
      </dsp:txBody>
      <dsp:txXfrm>
        <a:off x="4358025" y="1142468"/>
        <a:ext cx="381854" cy="1815876"/>
      </dsp:txXfrm>
    </dsp:sp>
    <dsp:sp modelId="{1330655A-85DD-4AB9-A744-BE05A47176EE}">
      <dsp:nvSpPr>
        <dsp:cNvPr id="0" name=""/>
        <dsp:cNvSpPr/>
      </dsp:nvSpPr>
      <dsp:spPr>
        <a:xfrm>
          <a:off x="4891817" y="1142468"/>
          <a:ext cx="381854" cy="1815876"/>
        </a:xfrm>
        <a:prstGeom prst="rect">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zh-CN" altLang="en-US" sz="1400" b="0" kern="1200"/>
            <a:t>个性特长奠基课程</a:t>
          </a:r>
        </a:p>
      </dsp:txBody>
      <dsp:txXfrm>
        <a:off x="4891817" y="1142468"/>
        <a:ext cx="381854" cy="18158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rSet qsTypeId="urn:microsoft.com/office/officeart/2005/8/quickstyle/simple5"/>
        </dgm:pt>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2382</Words>
  <Characters>13580</Characters>
  <Lines>113</Lines>
  <Paragraphs>31</Paragraphs>
  <TotalTime>17</TotalTime>
  <ScaleCrop>false</ScaleCrop>
  <LinksUpToDate>false</LinksUpToDate>
  <CharactersWithSpaces>15931</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2019-01-21T12:34:00Z</dcterms:created>
  <dc:creator>walkinnet</dc:creator>
  <cp:lastModifiedBy>Administrator</cp:lastModifiedBy>
  <cp:lastPrinted>2019-11-07T06:24:07Z</cp:lastPrinted>
  <dcterms:modified xsi:type="dcterms:W3CDTF">2019-11-07T06:40:47Z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